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color w:val="auto"/>
          <w:kern w:val="0"/>
          <w:sz w:val="44"/>
          <w:szCs w:val="44"/>
          <w:highlight w:val="none"/>
        </w:rPr>
      </w:pPr>
      <w:bookmarkStart w:id="0" w:name="_Toc200359426"/>
      <w:bookmarkStart w:id="1" w:name="_Toc200359237"/>
      <w:bookmarkStart w:id="2" w:name="_Toc224103298"/>
      <w:bookmarkStart w:id="3" w:name="_Toc443576762"/>
      <w:r>
        <w:rPr>
          <w:rFonts w:hint="eastAsia" w:ascii="宋体" w:hAnsi="宋体"/>
          <w:b/>
          <w:color w:val="auto"/>
          <w:kern w:val="0"/>
          <w:sz w:val="44"/>
          <w:szCs w:val="44"/>
          <w:highlight w:val="none"/>
        </w:rPr>
        <w:t xml:space="preserve"> </w:t>
      </w:r>
      <w:bookmarkStart w:id="4" w:name="_Hlk79935546"/>
    </w:p>
    <w:p>
      <w:pPr>
        <w:pStyle w:val="9"/>
        <w:jc w:val="center"/>
        <w:rPr>
          <w:rFonts w:hint="eastAsia"/>
          <w:highlight w:val="none"/>
          <w:lang w:val="en-US" w:eastAsia="zh-CN"/>
        </w:rPr>
      </w:pPr>
      <w:r>
        <w:rPr>
          <w:rFonts w:hint="eastAsia" w:cs="宋体"/>
          <w:b/>
          <w:bCs w:val="0"/>
          <w:color w:val="auto"/>
          <w:sz w:val="44"/>
          <w:szCs w:val="44"/>
          <w:highlight w:val="none"/>
          <w:lang w:val="en-US" w:eastAsia="zh-CN"/>
        </w:rPr>
        <w:t>渝厦高铁重庆段彭水乌江铁路大桥3、4号桥墩周边场坪及附属设施工程</w:t>
      </w:r>
    </w:p>
    <w:p>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p>
    <w:p>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pPr>
        <w:autoSpaceDE w:val="0"/>
        <w:autoSpaceDN w:val="0"/>
        <w:adjustRightInd w:val="0"/>
        <w:snapToGrid w:val="0"/>
        <w:spacing w:line="360" w:lineRule="auto"/>
        <w:jc w:val="center"/>
        <w:rPr>
          <w:rFonts w:hint="eastAsia"/>
          <w:color w:val="auto"/>
          <w:highlight w:val="none"/>
        </w:rPr>
      </w:pPr>
    </w:p>
    <w:p>
      <w:pPr>
        <w:pStyle w:val="8"/>
        <w:rPr>
          <w:color w:val="auto"/>
          <w:highlight w:val="none"/>
        </w:rPr>
      </w:pPr>
    </w:p>
    <w:p>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pPr>
        <w:rPr>
          <w:rFonts w:hint="eastAsia" w:ascii="宋体" w:hAnsi="宋体" w:cs="MingLiU"/>
          <w:color w:val="auto"/>
          <w:kern w:val="0"/>
          <w:sz w:val="20"/>
          <w:szCs w:val="20"/>
          <w:highlight w:val="none"/>
        </w:rPr>
      </w:pPr>
    </w:p>
    <w:p>
      <w:pPr>
        <w:pStyle w:val="4"/>
        <w:rPr>
          <w:rFonts w:hint="eastAsia" w:ascii="宋体" w:hAnsi="宋体"/>
          <w:color w:val="auto"/>
          <w:sz w:val="20"/>
          <w:szCs w:val="20"/>
          <w:highlight w:val="none"/>
        </w:rPr>
      </w:pPr>
    </w:p>
    <w:p>
      <w:pPr>
        <w:rPr>
          <w:rFonts w:hint="eastAsia"/>
          <w:color w:val="auto"/>
          <w:highlight w:val="none"/>
        </w:rPr>
      </w:pPr>
    </w:p>
    <w:p>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重庆江胜工程管理有限公司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pPr>
        <w:autoSpaceDE w:val="0"/>
        <w:autoSpaceDN w:val="0"/>
        <w:adjustRightInd w:val="0"/>
        <w:snapToGrid w:val="0"/>
        <w:spacing w:line="360" w:lineRule="auto"/>
        <w:rPr>
          <w:rFonts w:hint="eastAsia" w:ascii="宋体"/>
          <w:b/>
          <w:color w:val="auto"/>
          <w:kern w:val="0"/>
          <w:sz w:val="28"/>
          <w:szCs w:val="28"/>
          <w:highlight w:val="none"/>
        </w:rPr>
      </w:pPr>
    </w:p>
    <w:p>
      <w:pPr>
        <w:spacing w:line="360" w:lineRule="auto"/>
        <w:ind w:firstLine="582" w:firstLineChars="196"/>
        <w:rPr>
          <w:rFonts w:hint="eastAsia" w:ascii="宋体" w:hAnsi="宋体" w:cs="MingLiU"/>
          <w:b/>
          <w:color w:val="auto"/>
          <w:spacing w:val="8"/>
          <w:kern w:val="0"/>
          <w:sz w:val="28"/>
          <w:szCs w:val="28"/>
          <w:highlight w:val="none"/>
        </w:rPr>
      </w:pPr>
    </w:p>
    <w:p>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一</w:t>
      </w:r>
      <w:r>
        <w:rPr>
          <w:rFonts w:hint="eastAsia" w:ascii="宋体" w:hAnsi="宋体" w:cs="MingLiU"/>
          <w:b/>
          <w:color w:val="auto"/>
          <w:w w:val="99"/>
          <w:kern w:val="0"/>
          <w:sz w:val="28"/>
          <w:szCs w:val="28"/>
          <w:highlight w:val="none"/>
        </w:rPr>
        <w:t>月</w:t>
      </w:r>
    </w:p>
    <w:bookmarkEnd w:id="4"/>
    <w:p>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pPr>
        <w:jc w:val="center"/>
        <w:rPr>
          <w:rFonts w:hint="eastAsia"/>
          <w:color w:val="auto"/>
          <w:highlight w:val="none"/>
        </w:rPr>
      </w:pPr>
      <w:r>
        <w:rPr>
          <w:rFonts w:hint="eastAsia"/>
          <w:color w:val="auto"/>
          <w:sz w:val="40"/>
          <w:szCs w:val="48"/>
          <w:highlight w:val="none"/>
        </w:rPr>
        <w:t>目  录</w:t>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8"/>
        <w:rPr>
          <w:color w:val="auto"/>
          <w:highlight w:val="none"/>
        </w:rPr>
      </w:pPr>
      <w:r>
        <w:rPr>
          <w:color w:val="auto"/>
          <w:highlight w:val="none"/>
        </w:rPr>
        <w:fldChar w:fldCharType="end"/>
      </w:r>
    </w:p>
    <w:p>
      <w:pPr>
        <w:rPr>
          <w:color w:val="auto"/>
          <w:highlight w:val="none"/>
        </w:rPr>
      </w:pPr>
    </w:p>
    <w:p>
      <w:pPr>
        <w:pStyle w:val="8"/>
        <w:rPr>
          <w:color w:val="auto"/>
          <w:highlight w:val="none"/>
        </w:rPr>
      </w:pPr>
    </w:p>
    <w:p>
      <w:pPr>
        <w:rPr>
          <w:color w:val="auto"/>
          <w:highlight w:val="none"/>
        </w:rPr>
      </w:pPr>
    </w:p>
    <w:p>
      <w:pPr>
        <w:pStyle w:val="8"/>
        <w:tabs>
          <w:tab w:val="left" w:pos="7730"/>
        </w:tabs>
        <w:rPr>
          <w:rFonts w:hint="eastAsia"/>
          <w:color w:val="auto"/>
          <w:highlight w:val="none"/>
        </w:rPr>
      </w:pPr>
      <w:r>
        <w:rPr>
          <w:rFonts w:hint="eastAsia"/>
          <w:color w:val="auto"/>
          <w:highlight w:val="none"/>
        </w:rPr>
        <w:tab/>
      </w: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bookmarkEnd w:id="0"/>
    <w:bookmarkEnd w:id="1"/>
    <w:bookmarkEnd w:id="2"/>
    <w:p>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3"/>
      <w:bookmarkEnd w:id="5"/>
      <w:bookmarkStart w:id="73" w:name="_GoBack"/>
      <w:bookmarkEnd w:id="73"/>
    </w:p>
    <w:p>
      <w:pPr>
        <w:pStyle w:val="2"/>
        <w:numPr>
          <w:ilvl w:val="0"/>
          <w:numId w:val="0"/>
        </w:numPr>
        <w:jc w:val="center"/>
        <w:rPr>
          <w:rFonts w:hint="eastAsia"/>
          <w:color w:val="auto"/>
          <w:sz w:val="36"/>
          <w:szCs w:val="36"/>
          <w:highlight w:val="none"/>
        </w:rPr>
      </w:pPr>
    </w:p>
    <w:p>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443576763"/>
      <w:bookmarkStart w:id="7" w:name="_Toc212871819"/>
      <w:bookmarkStart w:id="8" w:name="_Toc443576770"/>
      <w:bookmarkStart w:id="9" w:name="_Toc224103315"/>
      <w:r>
        <w:rPr>
          <w:rFonts w:hint="eastAsia" w:ascii="宋体" w:eastAsia="宋体"/>
          <w:snapToGrid w:val="0"/>
          <w:color w:val="auto"/>
          <w:sz w:val="21"/>
          <w:szCs w:val="21"/>
          <w:highlight w:val="none"/>
        </w:rPr>
        <w:t>1．比选条件</w:t>
      </w:r>
      <w:bookmarkEnd w:id="6"/>
      <w:bookmarkEnd w:id="7"/>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spacing w:val="4"/>
          <w:sz w:val="22"/>
          <w:szCs w:val="22"/>
          <w:highlight w:val="none"/>
          <w:u w:val="single" w:color="auto"/>
          <w:lang w:eastAsia="zh-CN"/>
        </w:rPr>
        <w:t>渝厦高铁重庆段彭水乌江铁路大桥3、4号桥墩周边场坪及附属设施工程</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auto"/>
          <w:kern w:val="0"/>
          <w:sz w:val="22"/>
          <w:szCs w:val="22"/>
          <w:highlight w:val="none"/>
          <w:u w:val="single"/>
          <w:lang w:val="en-US" w:eastAsia="zh-CN"/>
        </w:rPr>
        <w:t>业主自筹</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 项目建设地点：</w:t>
      </w:r>
      <w:r>
        <w:rPr>
          <w:rFonts w:hint="eastAsia" w:ascii="宋体" w:hAnsi="宋体" w:cs="宋体"/>
          <w:spacing w:val="4"/>
          <w:sz w:val="22"/>
          <w:szCs w:val="22"/>
          <w:highlight w:val="none"/>
          <w:u w:val="single" w:color="auto"/>
          <w:lang w:eastAsia="zh-CN"/>
        </w:rPr>
        <w:t>彭水县绍庆街道临江社区。</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spacing w:val="9"/>
          <w:sz w:val="21"/>
          <w:szCs w:val="21"/>
          <w:highlight w:val="none"/>
          <w:lang w:val="en-US"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spacing w:val="9"/>
          <w:sz w:val="21"/>
          <w:szCs w:val="21"/>
          <w:highlight w:val="none"/>
          <w:lang w:val="en-US" w:eastAsia="zh-CN"/>
        </w:rPr>
        <w:t>：</w:t>
      </w:r>
    </w:p>
    <w:p>
      <w:pPr>
        <w:keepNext w:val="0"/>
        <w:keepLines w:val="0"/>
        <w:pageBreakBefore w:val="0"/>
        <w:numPr>
          <w:ilvl w:val="0"/>
          <w:numId w:val="2"/>
        </w:numPr>
        <w:kinsoku/>
        <w:wordWrap/>
        <w:overflowPunct/>
        <w:topLinePunct w:val="0"/>
        <w:bidi w:val="0"/>
        <w:spacing w:line="360" w:lineRule="auto"/>
        <w:ind w:firstLine="456" w:firstLineChars="200"/>
        <w:jc w:val="left"/>
        <w:textAlignment w:val="auto"/>
        <w:rPr>
          <w:rFonts w:hint="eastAsia" w:ascii="宋体" w:hAnsi="宋体" w:eastAsia="宋体" w:cs="宋体"/>
          <w:spacing w:val="4"/>
          <w:sz w:val="22"/>
          <w:szCs w:val="22"/>
          <w:highlight w:val="none"/>
          <w:u w:val="single" w:color="auto"/>
          <w:lang w:eastAsia="zh-CN"/>
        </w:rPr>
      </w:pPr>
      <w:r>
        <w:rPr>
          <w:rFonts w:hint="eastAsia" w:ascii="宋体" w:hAnsi="宋体" w:eastAsia="宋体" w:cs="宋体"/>
          <w:spacing w:val="4"/>
          <w:sz w:val="22"/>
          <w:szCs w:val="22"/>
          <w:highlight w:val="none"/>
          <w:u w:val="single" w:color="auto"/>
          <w:lang w:eastAsia="zh-CN"/>
        </w:rPr>
        <w:t>对渝厦高铁重庆段彭水乌江铁路大桥下进行场坪填筑，填筑顶面与河堤顶面齐平，填筑高程约236.6m,并对大桥3、4号桥墩进行保护等附属工程，填筑范围进入铁路控制保护区内。</w:t>
      </w:r>
    </w:p>
    <w:p>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渝厦高铁重庆段彭水乌江铁路大桥3、4号桥墩周边场坪及附属设施工程</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eastAsia="宋体" w:cs="宋体"/>
          <w:bCs/>
          <w:color w:val="000000"/>
          <w:kern w:val="0"/>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bCs/>
          <w:color w:val="auto"/>
          <w:kern w:val="0"/>
          <w:szCs w:val="21"/>
          <w:highlight w:val="none"/>
        </w:rPr>
        <w:t>。</w:t>
      </w:r>
      <w:r>
        <w:rPr>
          <w:rFonts w:hint="eastAsia" w:ascii="宋体" w:hAnsi="宋体" w:eastAsia="宋体" w:cs="宋体"/>
          <w:bCs/>
          <w:color w:val="auto"/>
          <w:kern w:val="0"/>
          <w:sz w:val="22"/>
          <w:szCs w:val="22"/>
          <w:highlight w:val="none"/>
        </w:rPr>
        <w:t>具体以比选人提供的工程量清单及图纸为准。</w:t>
      </w:r>
    </w:p>
    <w:p>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120日历天</w:t>
      </w:r>
      <w:r>
        <w:rPr>
          <w:rFonts w:hint="eastAsia" w:ascii="宋体" w:hAnsi="宋体" w:cs="宋体"/>
          <w:color w:val="auto"/>
          <w:kern w:val="0"/>
          <w:szCs w:val="21"/>
          <w:highlight w:val="none"/>
          <w:lang w:val="en-US" w:eastAsia="zh-CN"/>
        </w:rPr>
        <w:t>。</w:t>
      </w:r>
    </w:p>
    <w:p>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none"/>
        </w:rPr>
        <w:t>并在人员、设备、资金等方面具有相应的施工能力。</w:t>
      </w:r>
    </w:p>
    <w:p>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 xml:space="preserve"> 1 </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 xml:space="preserve">  7 </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 xml:space="preserve"> 1 </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 xml:space="preserve"> 10  </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 xml:space="preserve"> 11</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 xml:space="preserve"> 00 </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 xml:space="preserve"> 11 </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 xml:space="preserve"> 30 </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重庆江胜工程管理有限公司</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151515"/>
          <w:spacing w:val="0"/>
          <w:sz w:val="22"/>
          <w:szCs w:val="22"/>
          <w:highlight w:val="none"/>
          <w:shd w:val="clear" w:color="auto" w:fill="FFFFFF"/>
          <w:lang w:eastAsia="zh-CN"/>
        </w:rPr>
        <w:t>重庆市彭水县乌江西路37号附1号</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陈老师</w:t>
      </w:r>
    </w:p>
    <w:p>
      <w:pPr>
        <w:pStyle w:val="8"/>
        <w:keepNext w:val="0"/>
        <w:keepLines w:val="0"/>
        <w:pageBreakBefore w:val="0"/>
        <w:kinsoku/>
        <w:wordWrap/>
        <w:overflowPunct/>
        <w:topLinePunct w:val="0"/>
        <w:bidi w:val="0"/>
        <w:spacing w:line="360" w:lineRule="auto"/>
        <w:ind w:firstLine="440" w:firstLineChars="200"/>
        <w:textAlignment w:val="auto"/>
        <w:rPr>
          <w:rFonts w:hint="default"/>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19142312606</w:t>
      </w:r>
    </w:p>
    <w:p>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trPr>
        <w:tc>
          <w:tcPr>
            <w:tcW w:w="1188"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重庆江胜工程管理有限公司</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Helvetica" w:hAnsi="Helvetica" w:cs="Helvetica"/>
                <w:i w:val="0"/>
                <w:iCs w:val="0"/>
                <w:caps w:val="0"/>
                <w:color w:val="151515"/>
                <w:spacing w:val="0"/>
                <w:sz w:val="21"/>
                <w:szCs w:val="21"/>
                <w:highlight w:val="none"/>
                <w:shd w:val="clear" w:color="auto" w:fill="FFFFFF"/>
                <w:lang w:eastAsia="zh-CN"/>
              </w:rPr>
              <w:t>重庆市彭水县乌江西路37号附1号</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2"/>
                <w:szCs w:val="22"/>
                <w:highlight w:val="none"/>
                <w:lang w:val="en-US" w:eastAsia="zh-CN"/>
              </w:rPr>
              <w:t>陈老师</w:t>
            </w:r>
            <w:r>
              <w:rPr>
                <w:rFonts w:hint="eastAsia" w:ascii="宋体" w:hAnsi="宋体" w:eastAsia="宋体" w:cs="宋体"/>
                <w:color w:val="auto"/>
                <w:sz w:val="21"/>
                <w:szCs w:val="21"/>
                <w:highlight w:val="none"/>
              </w:rPr>
              <w:t> </w:t>
            </w:r>
          </w:p>
          <w:p>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19142312606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spacing w:val="-8"/>
                <w:sz w:val="21"/>
                <w:szCs w:val="21"/>
                <w:highlight w:val="none"/>
                <w:lang w:val="en-US" w:eastAsia="zh-CN"/>
              </w:rPr>
              <w:t>渝厦高铁重庆段彭水乌江铁路大桥3、4号桥墩周边场坪及附属设施工程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pPr>
              <w:snapToGrid w:val="0"/>
              <w:spacing w:line="420" w:lineRule="exact"/>
              <w:rPr>
                <w:rFonts w:hint="eastAsia" w:ascii="宋体" w:hAnsi="宋体" w:cs="宋体"/>
                <w:bCs/>
                <w:color w:val="auto"/>
                <w:kern w:val="0"/>
                <w:szCs w:val="21"/>
                <w:highlight w:val="none"/>
              </w:rPr>
            </w:pPr>
            <w:r>
              <w:rPr>
                <w:rFonts w:hint="eastAsia" w:ascii="宋体" w:hAnsi="宋体" w:cs="宋体"/>
                <w:spacing w:val="-8"/>
                <w:sz w:val="21"/>
                <w:szCs w:val="21"/>
                <w:highlight w:val="none"/>
                <w:lang w:val="en-US" w:eastAsia="zh-CN"/>
              </w:rPr>
              <w:t>彭水县绍庆街道临江社区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zCs w:val="21"/>
                <w:highlight w:val="none"/>
              </w:rPr>
              <w:t>比选人提供的《</w:t>
            </w:r>
            <w:r>
              <w:rPr>
                <w:rFonts w:hint="eastAsia" w:ascii="宋体" w:hAnsi="宋体" w:cs="宋体"/>
                <w:color w:val="auto"/>
                <w:szCs w:val="21"/>
                <w:highlight w:val="none"/>
                <w:lang w:eastAsia="zh-CN"/>
              </w:rPr>
              <w:t>渝厦高铁重庆段彭水乌江铁路大桥3、4号桥墩周边场坪及附属设施工程</w:t>
            </w:r>
            <w:r>
              <w:rPr>
                <w:rFonts w:hint="eastAsia" w:ascii="宋体" w:hAnsi="宋体" w:cs="宋体"/>
                <w:color w:val="auto"/>
                <w:szCs w:val="21"/>
                <w:highlight w:val="none"/>
              </w:rPr>
              <w:t>》所包含全部工程内容</w:t>
            </w:r>
            <w:r>
              <w:rPr>
                <w:rFonts w:hint="eastAsia" w:ascii="宋体" w:hAnsi="宋体" w:cs="宋体"/>
                <w:color w:val="auto"/>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。具体以比选人提供的工程量清单及图纸为准。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pPr>
              <w:spacing w:before="127" w:line="356" w:lineRule="auto"/>
              <w:rPr>
                <w:rFonts w:hint="eastAsia" w:ascii="宋体" w:hAnsi="宋体" w:cs="宋体"/>
                <w:color w:val="auto"/>
                <w:szCs w:val="21"/>
                <w:highlight w:val="none"/>
              </w:rPr>
            </w:pPr>
            <w:r>
              <w:rPr>
                <w:rFonts w:ascii="宋体" w:hAnsi="宋体" w:eastAsia="宋体" w:cs="宋体"/>
                <w:spacing w:val="-8"/>
                <w:sz w:val="21"/>
                <w:szCs w:val="21"/>
                <w:highlight w:val="none"/>
              </w:rPr>
              <w:t>符合强制</w:t>
            </w:r>
            <w:r>
              <w:rPr>
                <w:rFonts w:ascii="宋体" w:hAnsi="宋体" w:eastAsia="宋体" w:cs="宋体"/>
                <w:spacing w:val="-6"/>
                <w:sz w:val="21"/>
                <w:szCs w:val="21"/>
                <w:highlight w:val="none"/>
              </w:rPr>
              <w:t>性</w:t>
            </w:r>
            <w:r>
              <w:rPr>
                <w:rFonts w:ascii="宋体" w:hAnsi="宋体" w:eastAsia="宋体" w:cs="宋体"/>
                <w:spacing w:val="-4"/>
                <w:sz w:val="21"/>
                <w:szCs w:val="21"/>
                <w:highlight w:val="none"/>
              </w:rPr>
              <w:t>质量标准，</w:t>
            </w:r>
            <w:r>
              <w:rPr>
                <w:rFonts w:ascii="宋体" w:hAnsi="宋体" w:eastAsia="宋体" w:cs="宋体"/>
                <w:spacing w:val="-4"/>
                <w:sz w:val="21"/>
                <w:szCs w:val="21"/>
                <w:highlight w:val="none"/>
                <w:u w:val="none" w:color="auto"/>
              </w:rPr>
              <w:t xml:space="preserve"> 符合国家和重庆市现行有关施工质量验收</w:t>
            </w:r>
            <w:r>
              <w:rPr>
                <w:rFonts w:ascii="宋体" w:hAnsi="宋体" w:eastAsia="宋体" w:cs="宋体"/>
                <w:spacing w:val="-1"/>
                <w:sz w:val="21"/>
                <w:szCs w:val="21"/>
                <w:highlight w:val="none"/>
                <w:u w:val="none" w:color="auto"/>
              </w:rPr>
              <w:t>规范要求</w:t>
            </w:r>
            <w:r>
              <w:rPr>
                <w:rFonts w:ascii="宋体" w:hAnsi="宋体" w:eastAsia="宋体" w:cs="宋体"/>
                <w:sz w:val="21"/>
                <w:szCs w:val="21"/>
                <w:highlight w:val="none"/>
                <w:u w:val="none" w:color="auto"/>
              </w:rPr>
              <w:t>，并达到合格标准。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pPr>
              <w:snapToGrid w:val="0"/>
              <w:spacing w:line="420" w:lineRule="exact"/>
              <w:jc w:val="center"/>
              <w:rPr>
                <w:rFonts w:hint="eastAsia" w:ascii="宋体" w:hAnsi="宋体" w:cs="宋体"/>
                <w:color w:val="auto"/>
                <w:highlight w:val="none"/>
              </w:rPr>
            </w:pPr>
          </w:p>
        </w:tc>
        <w:tc>
          <w:tcPr>
            <w:tcW w:w="6662" w:type="dxa"/>
            <w:noWrap w:val="0"/>
            <w:vAlign w:val="center"/>
          </w:tcPr>
          <w:p>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pPr>
              <w:numPr>
                <w:ilvl w:val="0"/>
                <w:numId w:val="3"/>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pPr>
              <w:numPr>
                <w:ilvl w:val="0"/>
                <w:numId w:val="4"/>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）被国家、重庆市（含市或任意区县）有关行政部门处以暂停投标资格行政处罚，且在处罚期限内；</w:t>
            </w:r>
          </w:p>
          <w:p>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pPr>
              <w:spacing w:line="400" w:lineRule="exact"/>
              <w:ind w:firstLine="420" w:firstLineChars="200"/>
              <w:rPr>
                <w:color w:val="auto"/>
                <w:highlight w:val="none"/>
              </w:rPr>
            </w:pPr>
            <w:r>
              <w:rPr>
                <w:rFonts w:hint="eastAsia"/>
                <w:color w:val="auto"/>
                <w:highlight w:val="none"/>
              </w:rPr>
              <w:t>竞选人须在竞选文件资格审查部分提供承诺。</w:t>
            </w:r>
          </w:p>
          <w:p>
            <w:pPr>
              <w:snapToGrid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5.现场管理人员要求</w:t>
            </w:r>
          </w:p>
          <w:p>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pPr>
              <w:keepNext w:val="0"/>
              <w:keepLines w:val="0"/>
              <w:widowControl/>
              <w:suppressLineNumbers w:val="0"/>
              <w:ind w:firstLine="420" w:firstLineChars="200"/>
              <w:jc w:val="left"/>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条，有一条不满足，则由比选小组作否决投标处理。竞选文件中对养老保险的要求为：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评标及比选有效期内均有权对竞选人提供的以上资料（证明和证件的原件或复印件）进行核实，若发现资料存在虚假不实，按照相关法律法规处理，竞选人承担因此造成的相关责任并赔偿相应损失。</w:t>
            </w:r>
          </w:p>
          <w:p>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“黑名单”）的竞选人，不得参加发包活动，并如实记录送比选小组评审。</w:t>
            </w:r>
          </w:p>
          <w:p>
            <w:pPr>
              <w:pStyle w:val="8"/>
              <w:ind w:firstLine="420" w:firstLineChars="200"/>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2024年12月社保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pPr>
              <w:widowControl/>
              <w:numPr>
                <w:ilvl w:val="0"/>
                <w:numId w:val="5"/>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(3)本工程所需材料 </w:t>
            </w:r>
            <w:r>
              <w:rPr>
                <w:rFonts w:hint="eastAsia" w:ascii="宋体" w:hAnsi="宋体" w:eastAsia="宋体" w:cs="宋体"/>
                <w:bCs/>
                <w:color w:val="auto"/>
                <w:kern w:val="0"/>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宋体" w:hAnsi="宋体" w:cs="宋体"/>
                <w:bCs/>
                <w:color w:val="auto"/>
                <w:kern w:val="0"/>
                <w:szCs w:val="21"/>
                <w:highlight w:val="none"/>
              </w:rPr>
              <w:t>。</w:t>
            </w:r>
            <w:r>
              <w:rPr>
                <w:rFonts w:hint="eastAsia" w:ascii="Times New Roman" w:hAnsi="Times New Roman" w:eastAsia="宋体" w:cs="Times New Roman"/>
                <w:color w:val="auto"/>
                <w:highlight w:val="none"/>
                <w:lang w:eastAsia="zh-CN"/>
              </w:rPr>
              <w:t>的劳务及辅助材料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2、本工程最高限价为人民币</w:t>
            </w:r>
            <w:r>
              <w:rPr>
                <w:rFonts w:hint="eastAsia" w:ascii="Times New Roman" w:hAnsi="Times New Roman" w:cs="Times New Roman"/>
                <w:b/>
                <w:bCs/>
                <w:color w:val="auto"/>
                <w:kern w:val="2"/>
                <w:sz w:val="21"/>
                <w:szCs w:val="24"/>
                <w:highlight w:val="none"/>
                <w:lang w:val="en-US" w:eastAsia="zh-CN" w:bidi="ar-SA"/>
              </w:rPr>
              <w:t>：</w:t>
            </w:r>
            <w:r>
              <w:rPr>
                <w:rFonts w:hint="eastAsia" w:ascii="Times New Roman" w:hAnsi="Times New Roman" w:eastAsia="宋体" w:cs="Times New Roman"/>
                <w:b/>
                <w:bCs/>
                <w:color w:val="auto"/>
                <w:kern w:val="2"/>
                <w:sz w:val="21"/>
                <w:szCs w:val="24"/>
                <w:highlight w:val="none"/>
                <w:u w:val="single"/>
                <w:lang w:val="en-US" w:eastAsia="zh-CN" w:bidi="ar-SA"/>
              </w:rPr>
              <w:t>9271674.62</w:t>
            </w:r>
            <w:r>
              <w:rPr>
                <w:rFonts w:hint="eastAsia" w:ascii="Times New Roman" w:hAnsi="Times New Roman" w:eastAsia="宋体" w:cs="Times New Roman"/>
                <w:color w:val="auto"/>
                <w:kern w:val="2"/>
                <w:sz w:val="21"/>
                <w:szCs w:val="24"/>
                <w:highlight w:val="none"/>
                <w:lang w:val="en-US" w:eastAsia="zh-CN" w:bidi="ar-SA"/>
              </w:rPr>
              <w:t xml:space="preserve">元 </w:t>
            </w: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玖佰贰拾柒万壹仟陆佰柒拾肆元陆角贰分</w:t>
            </w: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cs="Times New Roman"/>
                <w:color w:val="auto"/>
                <w:kern w:val="2"/>
                <w:sz w:val="21"/>
                <w:szCs w:val="24"/>
                <w:highlight w:val="none"/>
                <w:lang w:val="en-US" w:eastAsia="zh-CN" w:bidi="ar-SA"/>
              </w:rPr>
              <w:t>，其中安全文明施工费为：</w:t>
            </w:r>
            <w:r>
              <w:rPr>
                <w:rFonts w:hint="eastAsia" w:ascii="Times New Roman" w:hAnsi="Times New Roman" w:cs="Times New Roman"/>
                <w:b/>
                <w:bCs/>
                <w:color w:val="auto"/>
                <w:kern w:val="2"/>
                <w:sz w:val="21"/>
                <w:szCs w:val="24"/>
                <w:highlight w:val="none"/>
                <w:u w:val="single"/>
                <w:lang w:val="en-US" w:eastAsia="zh-CN" w:bidi="ar-SA"/>
              </w:rPr>
              <w:t>138652.53</w:t>
            </w:r>
            <w:r>
              <w:rPr>
                <w:rFonts w:hint="eastAsia" w:ascii="Times New Roman" w:hAnsi="Times New Roman" w:cs="Times New Roman"/>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。投标人的投标报价不得高于最高限价，否则投标文件作否决投标处理。</w:t>
            </w:r>
          </w:p>
          <w:p>
            <w:pPr>
              <w:spacing w:line="480" w:lineRule="exact"/>
              <w:ind w:firstLine="420"/>
              <w:rPr>
                <w:rFonts w:hint="eastAsia"/>
                <w:color w:val="auto"/>
                <w:highlight w:val="none"/>
              </w:rPr>
            </w:pPr>
            <w:r>
              <w:rPr>
                <w:rFonts w:hint="eastAsia"/>
                <w:color w:val="auto"/>
                <w:highlight w:val="none"/>
              </w:rPr>
              <w:t>投标人应将本工程的相关费用充分考虑进入投标报价中，除中标价外，招标人不另行支付本工程相关的其他一切任何费用。</w:t>
            </w:r>
          </w:p>
          <w:p>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pPr>
              <w:widowControl/>
              <w:spacing w:line="360" w:lineRule="auto"/>
              <w:ind w:firstLine="420" w:firstLineChars="200"/>
              <w:textAlignment w:val="baseline"/>
              <w:rPr>
                <w:rFonts w:hint="eastAsia" w:eastAsia="宋体"/>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pPr>
              <w:jc w:val="both"/>
              <w:rPr>
                <w:rFonts w:hint="eastAsia"/>
                <w:color w:val="auto"/>
                <w:highlight w:val="none"/>
              </w:rPr>
            </w:pPr>
            <w:r>
              <w:rPr>
                <w:rFonts w:hint="eastAsia"/>
                <w:color w:val="auto"/>
                <w:highlight w:val="none"/>
              </w:rPr>
              <w:t>1、竞选函部分：正本一份，副本一份；</w:t>
            </w:r>
          </w:p>
          <w:p>
            <w:pPr>
              <w:jc w:val="both"/>
              <w:rPr>
                <w:rFonts w:hint="eastAsia"/>
                <w:color w:val="auto"/>
                <w:highlight w:val="none"/>
              </w:rPr>
            </w:pPr>
            <w:r>
              <w:rPr>
                <w:rFonts w:hint="eastAsia"/>
                <w:color w:val="auto"/>
                <w:highlight w:val="none"/>
              </w:rPr>
              <w:t>2、资格审查资料：正本一份，副本一份；</w:t>
            </w:r>
          </w:p>
          <w:p>
            <w:pPr>
              <w:jc w:val="both"/>
              <w:rPr>
                <w:rFonts w:hint="eastAsia"/>
                <w:color w:val="auto"/>
                <w:highlight w:val="none"/>
              </w:rPr>
            </w:pPr>
            <w:r>
              <w:rPr>
                <w:rFonts w:hint="eastAsia"/>
                <w:color w:val="auto"/>
                <w:highlight w:val="none"/>
              </w:rPr>
              <w:t>3、经济部分：正本一份，副本一份；</w:t>
            </w:r>
          </w:p>
          <w:p>
            <w:pPr>
              <w:jc w:val="both"/>
              <w:rPr>
                <w:rFonts w:hint="eastAsia"/>
                <w:color w:val="auto"/>
                <w:highlight w:val="none"/>
              </w:rPr>
            </w:pPr>
            <w:r>
              <w:rPr>
                <w:rFonts w:hint="eastAsia"/>
                <w:color w:val="auto"/>
                <w:highlight w:val="none"/>
              </w:rPr>
              <w:t>4、电子版形式：U 盘 1 份，不分正副本。</w:t>
            </w:r>
          </w:p>
          <w:p>
            <w:pPr>
              <w:jc w:val="both"/>
              <w:rPr>
                <w:rFonts w:hint="eastAsia"/>
                <w:color w:val="auto"/>
                <w:highlight w:val="none"/>
              </w:rPr>
            </w:pPr>
            <w:r>
              <w:rPr>
                <w:rFonts w:hint="eastAsia"/>
                <w:color w:val="auto"/>
                <w:highlight w:val="none"/>
              </w:rPr>
              <w:t>注：(1)U 盘需装入所有投标文件，经济部分须装入投标软件版及Excel表格版 (须包含综合单价分 析表) 全部内容。</w:t>
            </w:r>
          </w:p>
          <w:p>
            <w:pPr>
              <w:jc w:val="both"/>
              <w:rPr>
                <w:rFonts w:hint="eastAsia"/>
                <w:highlight w:val="none"/>
              </w:rPr>
            </w:pPr>
            <w:r>
              <w:rPr>
                <w:rFonts w:hint="eastAsia"/>
                <w:color w:val="auto"/>
                <w:highlight w:val="none"/>
              </w:rPr>
              <w:t>(2) U 盘须标注竞选人名称和项目名称并加盖竞选单位公章。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3"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pPr>
              <w:adjustRightInd w:val="0"/>
              <w:snapToGrid w:val="0"/>
              <w:spacing w:line="420" w:lineRule="exact"/>
              <w:rPr>
                <w:rFonts w:hint="eastAsia" w:ascii="宋体" w:hAnsi="宋体"/>
                <w:color w:val="0000FF"/>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 xml:space="preserve">  10  </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 xml:space="preserve"> 10  </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 xml:space="preserve">11 </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7.公布最高限价，以便比选小组评审。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比选小组的组建</w:t>
            </w:r>
          </w:p>
        </w:tc>
        <w:tc>
          <w:tcPr>
            <w:tcW w:w="6662" w:type="dxa"/>
            <w:noWrap w:val="0"/>
            <w:vAlign w:val="center"/>
          </w:tcPr>
          <w:p>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虑在投标报价中，中标后比选人不得向中标人支付此笔费用。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88" w:type="dxa"/>
            <w:noWrap w:val="0"/>
            <w:vAlign w:val="center"/>
          </w:tcPr>
          <w:p>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88" w:type="dxa"/>
            <w:noWrap w:val="0"/>
            <w:vAlign w:val="center"/>
          </w:tcPr>
          <w:p>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88" w:type="dxa"/>
            <w:noWrap w:val="0"/>
            <w:vAlign w:val="center"/>
          </w:tcPr>
          <w:p>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88" w:type="dxa"/>
            <w:noWrap w:val="0"/>
            <w:vAlign w:val="center"/>
          </w:tcPr>
          <w:p>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trPr>
        <w:tc>
          <w:tcPr>
            <w:tcW w:w="1188" w:type="dxa"/>
            <w:noWrap w:val="0"/>
            <w:vAlign w:val="center"/>
          </w:tcPr>
          <w:p>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spacing w:before="9"/>
              <w:rPr>
                <w:rFonts w:ascii="Times New Roman"/>
                <w:color w:val="auto"/>
                <w:sz w:val="23"/>
                <w:highlight w:val="none"/>
              </w:rPr>
            </w:pPr>
          </w:p>
          <w:p>
            <w:pPr>
              <w:pStyle w:val="16"/>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88" w:type="dxa"/>
            <w:noWrap w:val="0"/>
            <w:vAlign w:val="center"/>
          </w:tcPr>
          <w:p>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pPr>
              <w:pStyle w:val="16"/>
              <w:rPr>
                <w:rFonts w:ascii="Times New Roman"/>
                <w:color w:val="auto"/>
                <w:sz w:val="20"/>
                <w:highlight w:val="none"/>
              </w:rPr>
            </w:pPr>
          </w:p>
          <w:p>
            <w:pPr>
              <w:pStyle w:val="16"/>
              <w:spacing w:before="3"/>
              <w:rPr>
                <w:rFonts w:ascii="Times New Roman"/>
                <w:color w:val="auto"/>
                <w:sz w:val="24"/>
                <w:highlight w:val="none"/>
              </w:rPr>
            </w:pPr>
          </w:p>
          <w:p>
            <w:pPr>
              <w:pStyle w:val="16"/>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pPr>
              <w:pStyle w:val="16"/>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pPr>
              <w:pStyle w:val="16"/>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8" w:type="dxa"/>
            <w:noWrap w:val="0"/>
            <w:vAlign w:val="center"/>
          </w:tcPr>
          <w:p>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pPr>
              <w:pStyle w:val="16"/>
              <w:jc w:val="center"/>
              <w:rPr>
                <w:rFonts w:ascii="Times New Roman"/>
                <w:color w:val="auto"/>
                <w:sz w:val="20"/>
                <w:highlight w:val="none"/>
              </w:rPr>
            </w:pPr>
          </w:p>
          <w:p>
            <w:pPr>
              <w:pStyle w:val="16"/>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pPr>
              <w:pStyle w:val="16"/>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32036"/>
      <w:bookmarkStart w:id="20" w:name="_Toc370718261"/>
      <w:bookmarkStart w:id="21" w:name="_Toc457204477"/>
      <w:bookmarkStart w:id="22" w:name="_Toc29004391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pPr>
              <w:spacing w:line="400" w:lineRule="exact"/>
              <w:rPr>
                <w:rFonts w:hint="eastAsia" w:ascii="宋体" w:hAnsi="宋体"/>
                <w:color w:val="auto"/>
                <w:kern w:val="0"/>
                <w:highlight w:val="none"/>
              </w:rPr>
            </w:pPr>
          </w:p>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noWrap w:val="0"/>
            <w:vAlign w:val="center"/>
          </w:tcPr>
          <w:p>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noWrap w:val="0"/>
            <w:vAlign w:val="center"/>
          </w:tcPr>
          <w:p>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（2）如出现竞选人比选总报价相同时，由比选小组抽签确定排序。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noWrap w:val="0"/>
            <w:vAlign w:val="center"/>
          </w:tcPr>
          <w:p>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noWrap w:val="0"/>
            <w:vAlign w:val="center"/>
          </w:tcPr>
          <w:p>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rPr>
              <w:t>比选小组按本办法推荐中选候选人，并应向比选人提交比选报告。</w:t>
            </w:r>
          </w:p>
        </w:tc>
      </w:tr>
    </w:tbl>
    <w:p>
      <w:pPr>
        <w:autoSpaceDE w:val="0"/>
        <w:autoSpaceDN w:val="0"/>
        <w:adjustRightInd w:val="0"/>
        <w:snapToGrid w:val="0"/>
        <w:spacing w:line="360" w:lineRule="auto"/>
        <w:rPr>
          <w:rFonts w:ascii="宋体" w:hAnsi="宋体"/>
          <w:color w:val="auto"/>
          <w:kern w:val="0"/>
          <w:sz w:val="20"/>
          <w:szCs w:val="20"/>
          <w:highlight w:val="none"/>
        </w:rPr>
      </w:pPr>
    </w:p>
    <w:p>
      <w:pPr>
        <w:pStyle w:val="8"/>
        <w:rPr>
          <w:color w:val="auto"/>
          <w:highlight w:val="none"/>
        </w:rPr>
      </w:pPr>
    </w:p>
    <w:p>
      <w:pPr>
        <w:rPr>
          <w:color w:val="auto"/>
          <w:highlight w:val="none"/>
        </w:rPr>
      </w:pPr>
    </w:p>
    <w:p>
      <w:pPr>
        <w:pStyle w:val="9"/>
        <w:rPr>
          <w:rFonts w:hint="eastAsia"/>
          <w:color w:val="auto"/>
          <w:highlight w:val="none"/>
        </w:rPr>
      </w:pPr>
      <w:bookmarkStart w:id="23" w:name="_Toc224103484"/>
      <w:bookmarkStart w:id="24" w:name="_Toc443576785"/>
    </w:p>
    <w:p>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pPr>
        <w:rPr>
          <w:rFonts w:hint="eastAsia"/>
          <w:color w:val="auto"/>
          <w:highlight w:val="none"/>
        </w:rPr>
      </w:pPr>
    </w:p>
    <w:p>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渝厦高铁重庆段彭水乌江铁路大桥3、4号桥墩周边场坪及附属设施工程</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rPr>
          <w:rFonts w:ascii="黑体"/>
          <w:b/>
          <w:color w:val="auto"/>
          <w:sz w:val="48"/>
          <w:highlight w:val="none"/>
        </w:rPr>
      </w:pPr>
    </w:p>
    <w:p>
      <w:pPr>
        <w:pStyle w:val="8"/>
        <w:spacing w:before="5"/>
        <w:rPr>
          <w:rFonts w:ascii="黑体"/>
          <w:b/>
          <w:color w:val="auto"/>
          <w:sz w:val="39"/>
          <w:highlight w:val="none"/>
        </w:rPr>
      </w:pPr>
    </w:p>
    <w:p>
      <w:pPr>
        <w:pStyle w:val="5"/>
        <w:spacing w:line="364" w:lineRule="auto"/>
        <w:ind w:right="2344" w:firstLine="534"/>
        <w:rPr>
          <w:rFonts w:hint="default" w:cs="Times New Roman"/>
          <w:b/>
          <w:bCs/>
          <w:color w:val="auto"/>
          <w:w w:val="95"/>
          <w:sz w:val="32"/>
          <w:szCs w:val="32"/>
          <w:highlight w:val="none"/>
          <w:u w:val="single"/>
          <w:lang w:val="en-US" w:eastAsia="zh-CN"/>
        </w:rPr>
      </w:pPr>
    </w:p>
    <w:p>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pPr>
        <w:pStyle w:val="5"/>
        <w:spacing w:line="364" w:lineRule="auto"/>
        <w:ind w:right="2344" w:firstLine="611"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pPr>
        <w:tabs>
          <w:tab w:val="left" w:pos="5676"/>
          <w:tab w:val="left" w:pos="6480"/>
        </w:tabs>
        <w:spacing w:before="2"/>
        <w:ind w:firstLine="1928" w:firstLineChars="600"/>
        <w:jc w:val="left"/>
        <w:rPr>
          <w:b/>
          <w:color w:val="auto"/>
          <w:sz w:val="32"/>
          <w:highlight w:val="none"/>
        </w:rPr>
      </w:pPr>
    </w:p>
    <w:p>
      <w:pPr>
        <w:tabs>
          <w:tab w:val="left" w:pos="5676"/>
          <w:tab w:val="left" w:pos="6480"/>
        </w:tabs>
        <w:spacing w:before="2"/>
        <w:ind w:firstLine="1928" w:firstLineChars="600"/>
        <w:jc w:val="left"/>
        <w:rPr>
          <w:b/>
          <w:color w:val="auto"/>
          <w:sz w:val="32"/>
          <w:highlight w:val="none"/>
        </w:rPr>
      </w:pPr>
    </w:p>
    <w:p>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8"/>
        <w:rPr>
          <w:b/>
          <w:color w:val="auto"/>
          <w:sz w:val="20"/>
          <w:highlight w:val="none"/>
        </w:rPr>
      </w:pPr>
    </w:p>
    <w:p>
      <w:pPr>
        <w:pStyle w:val="8"/>
        <w:spacing w:before="1"/>
        <w:rPr>
          <w:b/>
          <w:color w:val="auto"/>
          <w:sz w:val="14"/>
          <w:highlight w:val="none"/>
        </w:rPr>
      </w:pPr>
    </w:p>
    <w:p>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pPr>
        <w:pStyle w:val="8"/>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渝厦高铁重庆段彭水乌江铁路大桥3、4号桥墩周边场坪及附属设施工程</w:t>
      </w:r>
      <w:r>
        <w:rPr>
          <w:rFonts w:hint="eastAsia"/>
          <w:color w:val="auto"/>
          <w:sz w:val="21"/>
          <w:szCs w:val="21"/>
          <w:highlight w:val="none"/>
          <w:u w:val="single"/>
        </w:rPr>
        <w:t xml:space="preserve"> </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渝厦高铁重庆段彭水乌江铁路大桥3、4号桥墩周边场坪及附属设施工程</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pPr>
        <w:pStyle w:val="17"/>
        <w:keepNext w:val="0"/>
        <w:keepLines w:val="0"/>
        <w:pageBreakBefore w:val="0"/>
        <w:numPr>
          <w:ilvl w:val="0"/>
          <w:numId w:val="6"/>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color w:val="auto"/>
          <w:spacing w:val="-7"/>
          <w:sz w:val="21"/>
          <w:szCs w:val="21"/>
          <w:highlight w:val="none"/>
          <w:u w:val="single"/>
        </w:rPr>
        <w:t xml:space="preserve"> </w:t>
      </w:r>
      <w:r>
        <w:rPr>
          <w:rFonts w:hint="eastAsia"/>
          <w:color w:val="auto"/>
          <w:sz w:val="21"/>
          <w:szCs w:val="21"/>
          <w:highlight w:val="none"/>
          <w:u w:val="single"/>
          <w:lang w:val="en-US" w:eastAsia="zh-CN"/>
        </w:rPr>
        <w:t>渝厦高铁重庆段彭水乌江铁路大桥3、4号桥墩周边场坪及附属设施工程</w:t>
      </w:r>
      <w:r>
        <w:rPr>
          <w:rFonts w:hint="eastAsia"/>
          <w:color w:val="auto"/>
          <w:sz w:val="21"/>
          <w:szCs w:val="21"/>
          <w:highlight w:val="none"/>
          <w:u w:val="single"/>
        </w:rPr>
        <w:t xml:space="preserve"> </w:t>
      </w:r>
    </w:p>
    <w:p>
      <w:pPr>
        <w:pStyle w:val="17"/>
        <w:keepNext w:val="0"/>
        <w:keepLines w:val="0"/>
        <w:pageBreakBefore w:val="0"/>
        <w:numPr>
          <w:ilvl w:val="0"/>
          <w:numId w:val="6"/>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 w:val="21"/>
          <w:szCs w:val="21"/>
          <w:highlight w:val="none"/>
          <w:u w:val="single"/>
          <w:lang w:val="en-US" w:eastAsia="zh-CN"/>
        </w:rPr>
        <w:t>彭水县绍庆街道临江社区</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pPr>
        <w:pStyle w:val="17"/>
        <w:keepNext w:val="0"/>
        <w:keepLines w:val="0"/>
        <w:pageBreakBefore w:val="0"/>
        <w:numPr>
          <w:ilvl w:val="0"/>
          <w:numId w:val="6"/>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工程承包方式、范围及履约保证金</w:t>
      </w:r>
    </w:p>
    <w:p>
      <w:pPr>
        <w:pStyle w:val="8"/>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渝厦高铁重庆段彭水乌江铁路大桥3、4号桥墩周边场坪及附属设施工程</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pPr>
        <w:pStyle w:val="8"/>
        <w:keepNext w:val="0"/>
        <w:keepLines w:val="0"/>
        <w:pageBreakBefore w:val="0"/>
        <w:kinsoku/>
        <w:wordWrap/>
        <w:overflowPunct/>
        <w:topLinePunct w:val="0"/>
        <w:autoSpaceDE/>
        <w:autoSpaceDN/>
        <w:bidi w:val="0"/>
        <w:adjustRightInd/>
        <w:snapToGrid/>
        <w:spacing w:before="139" w:line="500" w:lineRule="exact"/>
        <w:ind w:left="552"/>
        <w:rPr>
          <w:color w:val="auto"/>
          <w:sz w:val="21"/>
          <w:szCs w:val="21"/>
          <w:highlight w:val="none"/>
        </w:rPr>
      </w:pPr>
      <w:r>
        <w:rPr>
          <w:color w:val="auto"/>
          <w:sz w:val="21"/>
          <w:szCs w:val="21"/>
          <w:highlight w:val="none"/>
        </w:rPr>
        <w:t>2、履约保证金的缴纳及退还</w:t>
      </w:r>
    </w:p>
    <w:p>
      <w:pPr>
        <w:pStyle w:val="8"/>
        <w:keepNext w:val="0"/>
        <w:keepLines w:val="0"/>
        <w:pageBreakBefore w:val="0"/>
        <w:kinsoku/>
        <w:wordWrap/>
        <w:overflowPunct/>
        <w:topLinePunct w:val="0"/>
        <w:autoSpaceDE/>
        <w:autoSpaceDN/>
        <w:bidi w:val="0"/>
        <w:adjustRightInd/>
        <w:snapToGrid/>
        <w:spacing w:before="7" w:line="500" w:lineRule="exact"/>
        <w:rPr>
          <w:color w:val="auto"/>
          <w:sz w:val="21"/>
          <w:szCs w:val="21"/>
          <w:highlight w:val="none"/>
        </w:rPr>
      </w:pPr>
    </w:p>
    <w:p>
      <w:pPr>
        <w:pStyle w:val="17"/>
        <w:keepNext w:val="0"/>
        <w:keepLines w:val="0"/>
        <w:pageBreakBefore w:val="0"/>
        <w:numPr>
          <w:ilvl w:val="0"/>
          <w:numId w:val="7"/>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rFonts w:hint="eastAsia"/>
          <w:color w:val="auto"/>
          <w:szCs w:val="21"/>
          <w:highlight w:val="none"/>
        </w:rPr>
        <w:t>履约保证金的形式：现金或保函或现金+保函的组合；采用保函形式的，保函必须为不可撤销且见索即付；</w:t>
      </w:r>
    </w:p>
    <w:p>
      <w:pPr>
        <w:pStyle w:val="17"/>
        <w:keepNext w:val="0"/>
        <w:keepLines w:val="0"/>
        <w:pageBreakBefore w:val="0"/>
        <w:numPr>
          <w:ilvl w:val="0"/>
          <w:numId w:val="7"/>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zCs w:val="21"/>
          <w:highlight w:val="none"/>
        </w:rPr>
        <w:t>承包人签订合同前按</w:t>
      </w:r>
      <w:r>
        <w:rPr>
          <w:rFonts w:hint="eastAsia"/>
          <w:color w:val="auto"/>
          <w:szCs w:val="21"/>
          <w:highlight w:val="none"/>
        </w:rPr>
        <w:t>比选</w:t>
      </w:r>
      <w:r>
        <w:rPr>
          <w:color w:val="auto"/>
          <w:szCs w:val="21"/>
          <w:highlight w:val="none"/>
        </w:rPr>
        <w:t>文件规定向发包人缴纳合同总价的</w:t>
      </w:r>
      <w:r>
        <w:rPr>
          <w:rFonts w:hint="eastAsia"/>
          <w:color w:val="auto"/>
          <w:spacing w:val="23"/>
          <w:szCs w:val="21"/>
          <w:highlight w:val="none"/>
          <w:u w:val="single"/>
          <w:lang w:val="en-US"/>
        </w:rPr>
        <w:t>10</w:t>
      </w:r>
      <w:r>
        <w:rPr>
          <w:rFonts w:ascii="Times New Roman" w:eastAsia="Times New Roman"/>
          <w:color w:val="auto"/>
          <w:szCs w:val="21"/>
          <w:highlight w:val="none"/>
          <w:u w:val="single"/>
        </w:rPr>
        <w:t xml:space="preserve">% </w:t>
      </w:r>
      <w:r>
        <w:rPr>
          <w:color w:val="auto"/>
          <w:spacing w:val="-5"/>
          <w:szCs w:val="21"/>
          <w:highlight w:val="none"/>
        </w:rPr>
        <w:t>履约保证金</w:t>
      </w:r>
      <w:r>
        <w:rPr>
          <w:color w:val="auto"/>
          <w:szCs w:val="21"/>
          <w:highlight w:val="none"/>
        </w:rPr>
        <w:t>（</w:t>
      </w:r>
      <w:r>
        <w:rPr>
          <w:rFonts w:hint="eastAsia"/>
          <w:color w:val="auto"/>
          <w:szCs w:val="21"/>
          <w:highlight w:val="none"/>
        </w:rPr>
        <w:t>采用现金的，须通过承包人基本账户递交至发包人约定账户；以保函方式递交的，承包人在签订合同前向发包人递交保函，保函必须为不可撤销且见索即付</w:t>
      </w:r>
      <w:r>
        <w:rPr>
          <w:color w:val="auto"/>
          <w:szCs w:val="21"/>
          <w:highlight w:val="none"/>
        </w:rPr>
        <w:t>；施工合同签订前，如</w:t>
      </w:r>
      <w:r>
        <w:rPr>
          <w:rFonts w:hint="eastAsia"/>
          <w:color w:val="auto"/>
          <w:szCs w:val="21"/>
          <w:highlight w:val="none"/>
        </w:rPr>
        <w:t>承包人</w:t>
      </w:r>
      <w:r>
        <w:rPr>
          <w:color w:val="auto"/>
          <w:szCs w:val="21"/>
          <w:highlight w:val="none"/>
        </w:rPr>
        <w:t>未按要求提交履约担保，</w:t>
      </w:r>
      <w:r>
        <w:rPr>
          <w:rFonts w:hint="eastAsia"/>
          <w:color w:val="auto"/>
          <w:szCs w:val="21"/>
          <w:highlight w:val="none"/>
        </w:rPr>
        <w:t>发包人</w:t>
      </w:r>
      <w:r>
        <w:rPr>
          <w:color w:val="auto"/>
          <w:szCs w:val="21"/>
          <w:highlight w:val="none"/>
        </w:rPr>
        <w:t>将取消其中选资格，竞选保证金不予退还</w:t>
      </w:r>
      <w:r>
        <w:rPr>
          <w:rFonts w:hint="eastAsia"/>
          <w:color w:val="auto"/>
          <w:szCs w:val="21"/>
          <w:highlight w:val="none"/>
          <w:lang w:eastAsia="zh-CN"/>
        </w:rPr>
        <w:t>）</w:t>
      </w:r>
      <w:r>
        <w:rPr>
          <w:color w:val="auto"/>
          <w:szCs w:val="21"/>
          <w:highlight w:val="none"/>
        </w:rPr>
        <w:t>。</w:t>
      </w:r>
    </w:p>
    <w:p>
      <w:pPr>
        <w:pStyle w:val="17"/>
        <w:keepNext w:val="0"/>
        <w:keepLines w:val="0"/>
        <w:pageBreakBefore w:val="0"/>
        <w:numPr>
          <w:ilvl w:val="0"/>
          <w:numId w:val="7"/>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履约担保的期限：自提交履约担保之日起至竣工验收合格之日止。</w:t>
      </w:r>
    </w:p>
    <w:p>
      <w:pPr>
        <w:pStyle w:val="17"/>
        <w:keepNext w:val="0"/>
        <w:keepLines w:val="0"/>
        <w:pageBreakBefore w:val="0"/>
        <w:numPr>
          <w:ilvl w:val="0"/>
          <w:numId w:val="7"/>
        </w:numPr>
        <w:tabs>
          <w:tab w:val="left" w:pos="1080"/>
        </w:tabs>
        <w:kinsoku/>
        <w:wordWrap/>
        <w:overflowPunct/>
        <w:topLinePunct w:val="0"/>
        <w:autoSpaceDE/>
        <w:autoSpaceDN/>
        <w:bidi w:val="0"/>
        <w:adjustRightInd/>
        <w:snapToGrid/>
        <w:spacing w:before="1" w:line="500" w:lineRule="exact"/>
        <w:ind w:right="425" w:firstLine="420"/>
        <w:rPr>
          <w:color w:val="auto"/>
          <w:szCs w:val="21"/>
          <w:highlight w:val="none"/>
        </w:rPr>
      </w:pPr>
      <w:r>
        <w:rPr>
          <w:color w:val="auto"/>
          <w:spacing w:val="-4"/>
          <w:szCs w:val="21"/>
          <w:highlight w:val="none"/>
        </w:rPr>
        <w:t>履约担保的退还时间：履约担保应在本项目竣工验收合格后一次性无息退还给承包人，发包</w:t>
      </w:r>
      <w:r>
        <w:rPr>
          <w:color w:val="auto"/>
          <w:spacing w:val="-5"/>
          <w:w w:val="95"/>
          <w:szCs w:val="21"/>
          <w:highlight w:val="none"/>
        </w:rPr>
        <w:t>人</w:t>
      </w:r>
      <w:r>
        <w:rPr>
          <w:color w:val="auto"/>
          <w:spacing w:val="-4"/>
          <w:szCs w:val="21"/>
          <w:highlight w:val="none"/>
        </w:rPr>
        <w:t>不承担承包人与保证金有关的任何利息或其它类似的费用或者收益；提交履约保函的,在保函到期前一</w:t>
      </w:r>
      <w:r>
        <w:rPr>
          <w:color w:val="auto"/>
          <w:szCs w:val="21"/>
          <w:highlight w:val="none"/>
        </w:rPr>
        <w:t>个月内，承包人应及时重新开具新保函，替换即将过期的保函，直至合同履行完毕。</w:t>
      </w:r>
    </w:p>
    <w:p>
      <w:pPr>
        <w:pStyle w:val="6"/>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pPr>
        <w:pStyle w:val="8"/>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pPr>
        <w:pStyle w:val="6"/>
        <w:keepNext w:val="0"/>
        <w:keepLines w:val="0"/>
        <w:pageBreakBefore w:val="0"/>
        <w:numPr>
          <w:ilvl w:val="0"/>
          <w:numId w:val="8"/>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1.承包人</w:t>
      </w:r>
      <w:r>
        <w:rPr>
          <w:rFonts w:hint="eastAsia" w:ascii="宋体" w:hAnsi="宋体"/>
          <w:color w:val="auto"/>
          <w:sz w:val="24"/>
          <w:szCs w:val="24"/>
          <w:highlight w:val="none"/>
          <w:lang w:eastAsia="zh-CN"/>
        </w:rPr>
        <w:t>竞选函</w:t>
      </w:r>
      <w:r>
        <w:rPr>
          <w:rFonts w:hint="eastAsia" w:ascii="宋体" w:hAnsi="宋体"/>
          <w:color w:val="auto"/>
          <w:sz w:val="24"/>
          <w:szCs w:val="24"/>
          <w:highlight w:val="none"/>
        </w:rPr>
        <w:t>中承诺的中</w:t>
      </w:r>
      <w:r>
        <w:rPr>
          <w:rFonts w:hint="eastAsia" w:ascii="宋体" w:hAnsi="宋体"/>
          <w:color w:val="auto"/>
          <w:sz w:val="24"/>
          <w:szCs w:val="24"/>
          <w:highlight w:val="none"/>
          <w:lang w:eastAsia="zh-CN"/>
        </w:rPr>
        <w:t>选</w:t>
      </w:r>
      <w:r>
        <w:rPr>
          <w:rFonts w:hint="eastAsia" w:ascii="宋体" w:hAnsi="宋体"/>
          <w:color w:val="auto"/>
          <w:sz w:val="24"/>
          <w:szCs w:val="24"/>
          <w:highlight w:val="none"/>
        </w:rPr>
        <w:t>价为：</w:t>
      </w:r>
    </w:p>
    <w:p>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2.签约合同价为：</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numPr>
          <w:ilvl w:val="0"/>
          <w:numId w:val="0"/>
        </w:numPr>
        <w:ind w:firstLine="480" w:firstLineChars="200"/>
        <w:rPr>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单价</w:t>
      </w:r>
      <w:r>
        <w:rPr>
          <w:rFonts w:ascii="宋体" w:hAnsi="宋体"/>
          <w:color w:val="auto"/>
          <w:sz w:val="24"/>
          <w:szCs w:val="24"/>
          <w:highlight w:val="none"/>
          <w:u w:val="single"/>
        </w:rPr>
        <w:t>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6"/>
        <w:keepNext w:val="0"/>
        <w:keepLines w:val="0"/>
        <w:pageBreakBefore w:val="0"/>
        <w:numPr>
          <w:ilvl w:val="0"/>
          <w:numId w:val="9"/>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价格由投标人参照重庆市建设工程造价管理总站发布的《重庆工程造价信息》或工程造价管理机构发布的工程造价信息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pPr>
        <w:pStyle w:val="8"/>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pPr>
        <w:pStyle w:val="8"/>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pPr>
        <w:pStyle w:val="6"/>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pPr>
        <w:pStyle w:val="8"/>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pPr>
        <w:pStyle w:val="8"/>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pPr>
        <w:pStyle w:val="8"/>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pPr>
        <w:pStyle w:val="8"/>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pPr>
        <w:pStyle w:val="8"/>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pPr>
        <w:pStyle w:val="8"/>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right="443" w:firstLine="42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pPr>
        <w:pStyle w:val="17"/>
        <w:keepNext w:val="0"/>
        <w:keepLines w:val="0"/>
        <w:pageBreakBefore w:val="0"/>
        <w:numPr>
          <w:ilvl w:val="1"/>
          <w:numId w:val="10"/>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pPr>
        <w:pStyle w:val="17"/>
        <w:keepNext w:val="0"/>
        <w:keepLines w:val="0"/>
        <w:pageBreakBefore w:val="0"/>
        <w:numPr>
          <w:ilvl w:val="1"/>
          <w:numId w:val="10"/>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pPr>
        <w:pStyle w:val="17"/>
        <w:keepNext w:val="0"/>
        <w:keepLines w:val="0"/>
        <w:pageBreakBefore w:val="0"/>
        <w:numPr>
          <w:ilvl w:val="1"/>
          <w:numId w:val="10"/>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pPr>
        <w:pStyle w:val="17"/>
        <w:keepNext w:val="0"/>
        <w:keepLines w:val="0"/>
        <w:pageBreakBefore w:val="0"/>
        <w:numPr>
          <w:ilvl w:val="1"/>
          <w:numId w:val="10"/>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pPr>
        <w:pStyle w:val="17"/>
        <w:keepNext w:val="0"/>
        <w:keepLines w:val="0"/>
        <w:pageBreakBefore w:val="0"/>
        <w:numPr>
          <w:ilvl w:val="1"/>
          <w:numId w:val="10"/>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pPr>
        <w:pStyle w:val="17"/>
        <w:keepNext w:val="0"/>
        <w:keepLines w:val="0"/>
        <w:pageBreakBefore w:val="0"/>
        <w:numPr>
          <w:ilvl w:val="1"/>
          <w:numId w:val="10"/>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pPr>
        <w:pStyle w:val="17"/>
        <w:keepNext w:val="0"/>
        <w:keepLines w:val="0"/>
        <w:pageBreakBefore w:val="0"/>
        <w:numPr>
          <w:ilvl w:val="1"/>
          <w:numId w:val="10"/>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pPr>
        <w:pStyle w:val="17"/>
        <w:keepNext w:val="0"/>
        <w:keepLines w:val="0"/>
        <w:pageBreakBefore w:val="0"/>
        <w:numPr>
          <w:ilvl w:val="1"/>
          <w:numId w:val="10"/>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pPr>
        <w:pStyle w:val="7"/>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pPr>
        <w:pStyle w:val="8"/>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pPr>
        <w:pStyle w:val="17"/>
        <w:keepNext w:val="0"/>
        <w:keepLines w:val="0"/>
        <w:pageBreakBefore w:val="0"/>
        <w:numPr>
          <w:ilvl w:val="0"/>
          <w:numId w:val="11"/>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pPr>
        <w:pStyle w:val="17"/>
        <w:keepNext w:val="0"/>
        <w:keepLines w:val="0"/>
        <w:pageBreakBefore w:val="0"/>
        <w:numPr>
          <w:ilvl w:val="0"/>
          <w:numId w:val="11"/>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pPr>
        <w:pStyle w:val="8"/>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pPr>
        <w:pStyle w:val="17"/>
        <w:keepNext w:val="0"/>
        <w:keepLines w:val="0"/>
        <w:pageBreakBefore w:val="0"/>
        <w:numPr>
          <w:ilvl w:val="0"/>
          <w:numId w:val="11"/>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pPr>
        <w:pStyle w:val="17"/>
        <w:keepNext w:val="0"/>
        <w:keepLines w:val="0"/>
        <w:pageBreakBefore w:val="0"/>
        <w:numPr>
          <w:ilvl w:val="0"/>
          <w:numId w:val="11"/>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pPr>
        <w:pStyle w:val="17"/>
        <w:keepNext w:val="0"/>
        <w:keepLines w:val="0"/>
        <w:pageBreakBefore w:val="0"/>
        <w:numPr>
          <w:ilvl w:val="1"/>
          <w:numId w:val="12"/>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pPr>
        <w:pStyle w:val="17"/>
        <w:keepNext w:val="0"/>
        <w:keepLines w:val="0"/>
        <w:pageBreakBefore w:val="0"/>
        <w:numPr>
          <w:ilvl w:val="2"/>
          <w:numId w:val="12"/>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pPr>
        <w:pStyle w:val="17"/>
        <w:keepNext w:val="0"/>
        <w:keepLines w:val="0"/>
        <w:pageBreakBefore w:val="0"/>
        <w:numPr>
          <w:ilvl w:val="2"/>
          <w:numId w:val="12"/>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pPr>
        <w:pStyle w:val="6"/>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pPr>
        <w:pStyle w:val="6"/>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pPr>
        <w:pStyle w:val="8"/>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pPr>
        <w:pStyle w:val="6"/>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pPr>
        <w:pStyle w:val="6"/>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pPr>
        <w:pStyle w:val="8"/>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pPr>
        <w:pStyle w:val="8"/>
        <w:spacing w:before="5"/>
        <w:rPr>
          <w:color w:val="auto"/>
          <w:sz w:val="21"/>
          <w:szCs w:val="21"/>
          <w:highlight w:val="none"/>
        </w:rPr>
      </w:pPr>
    </w:p>
    <w:p>
      <w:pPr>
        <w:pStyle w:val="8"/>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pPr>
        <w:pStyle w:val="8"/>
        <w:tabs>
          <w:tab w:val="left" w:pos="5880"/>
        </w:tabs>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pPr>
        <w:pStyle w:val="8"/>
        <w:spacing w:before="9"/>
        <w:rPr>
          <w:color w:val="auto"/>
          <w:sz w:val="21"/>
          <w:szCs w:val="21"/>
          <w:highlight w:val="none"/>
        </w:rPr>
      </w:pPr>
    </w:p>
    <w:p>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pPr>
        <w:pStyle w:val="8"/>
        <w:spacing w:before="7"/>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pPr>
        <w:spacing w:line="219" w:lineRule="exact"/>
        <w:ind w:firstLine="210" w:firstLineChars="100"/>
        <w:rPr>
          <w:rFonts w:hint="eastAsia"/>
          <w:color w:val="auto"/>
          <w:szCs w:val="21"/>
          <w:highlight w:val="none"/>
        </w:rPr>
      </w:pPr>
    </w:p>
    <w:p>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pPr>
        <w:pStyle w:val="8"/>
        <w:rPr>
          <w:rFonts w:ascii="Times New Roman" w:hAnsi="Times New Roman" w:eastAsia="宋体" w:cs="Times New Roman"/>
          <w:color w:val="auto"/>
          <w:sz w:val="21"/>
          <w:szCs w:val="21"/>
          <w:highlight w:val="none"/>
        </w:rPr>
      </w:pPr>
    </w:p>
    <w:p>
      <w:pPr>
        <w:pStyle w:val="5"/>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pPr>
        <w:pStyle w:val="7"/>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pPr>
        <w:pStyle w:val="7"/>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pPr>
        <w:pStyle w:val="8"/>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pStyle w:val="8"/>
        <w:spacing w:line="268" w:lineRule="exact"/>
        <w:ind w:left="552"/>
        <w:rPr>
          <w:color w:val="auto"/>
          <w:sz w:val="21"/>
          <w:szCs w:val="21"/>
          <w:highlight w:val="none"/>
        </w:rPr>
      </w:pPr>
      <w:r>
        <w:rPr>
          <w:color w:val="auto"/>
          <w:sz w:val="21"/>
          <w:szCs w:val="21"/>
          <w:highlight w:val="none"/>
        </w:rPr>
        <w:t>一、协议有效期限</w:t>
      </w:r>
    </w:p>
    <w:p>
      <w:pPr>
        <w:pStyle w:val="8"/>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pPr>
        <w:pStyle w:val="8"/>
        <w:spacing w:line="269" w:lineRule="exact"/>
        <w:ind w:left="552"/>
        <w:rPr>
          <w:color w:val="auto"/>
          <w:sz w:val="21"/>
          <w:szCs w:val="21"/>
          <w:highlight w:val="none"/>
        </w:rPr>
      </w:pPr>
      <w:r>
        <w:rPr>
          <w:color w:val="auto"/>
          <w:sz w:val="21"/>
          <w:szCs w:val="21"/>
          <w:highlight w:val="none"/>
        </w:rPr>
        <w:t>二、责任目标</w:t>
      </w:r>
    </w:p>
    <w:p>
      <w:pPr>
        <w:pStyle w:val="8"/>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pPr>
        <w:pStyle w:val="17"/>
        <w:numPr>
          <w:ilvl w:val="0"/>
          <w:numId w:val="13"/>
        </w:numPr>
        <w:tabs>
          <w:tab w:val="left" w:pos="869"/>
        </w:tabs>
        <w:spacing w:line="269" w:lineRule="exact"/>
        <w:ind w:hanging="317"/>
        <w:jc w:val="left"/>
        <w:rPr>
          <w:color w:val="auto"/>
          <w:szCs w:val="21"/>
          <w:highlight w:val="none"/>
        </w:rPr>
      </w:pPr>
      <w:r>
        <w:rPr>
          <w:color w:val="auto"/>
          <w:szCs w:val="21"/>
          <w:highlight w:val="none"/>
        </w:rPr>
        <w:t>不发生火灾事故；</w:t>
      </w:r>
    </w:p>
    <w:p>
      <w:pPr>
        <w:pStyle w:val="8"/>
        <w:spacing w:before="7"/>
        <w:rPr>
          <w:color w:val="auto"/>
          <w:sz w:val="21"/>
          <w:szCs w:val="21"/>
          <w:highlight w:val="none"/>
        </w:rPr>
      </w:pPr>
    </w:p>
    <w:p>
      <w:pPr>
        <w:pStyle w:val="17"/>
        <w:numPr>
          <w:ilvl w:val="0"/>
          <w:numId w:val="13"/>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pPr>
        <w:pStyle w:val="8"/>
        <w:spacing w:before="6"/>
        <w:rPr>
          <w:color w:val="auto"/>
          <w:sz w:val="21"/>
          <w:szCs w:val="21"/>
          <w:highlight w:val="none"/>
        </w:rPr>
      </w:pPr>
    </w:p>
    <w:p>
      <w:pPr>
        <w:pStyle w:val="17"/>
        <w:numPr>
          <w:ilvl w:val="0"/>
          <w:numId w:val="13"/>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pPr>
        <w:pStyle w:val="8"/>
        <w:spacing w:before="6"/>
        <w:rPr>
          <w:color w:val="auto"/>
          <w:sz w:val="21"/>
          <w:szCs w:val="21"/>
          <w:highlight w:val="none"/>
        </w:rPr>
      </w:pPr>
    </w:p>
    <w:p>
      <w:pPr>
        <w:pStyle w:val="17"/>
        <w:numPr>
          <w:ilvl w:val="0"/>
          <w:numId w:val="13"/>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pPr>
        <w:pStyle w:val="8"/>
        <w:spacing w:before="7"/>
        <w:rPr>
          <w:color w:val="auto"/>
          <w:sz w:val="21"/>
          <w:szCs w:val="21"/>
          <w:highlight w:val="none"/>
        </w:rPr>
      </w:pPr>
    </w:p>
    <w:p>
      <w:pPr>
        <w:pStyle w:val="17"/>
        <w:numPr>
          <w:ilvl w:val="0"/>
          <w:numId w:val="13"/>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pPr>
        <w:pStyle w:val="8"/>
        <w:spacing w:before="7"/>
        <w:rPr>
          <w:color w:val="auto"/>
          <w:sz w:val="21"/>
          <w:szCs w:val="21"/>
          <w:highlight w:val="none"/>
        </w:rPr>
      </w:pPr>
    </w:p>
    <w:p>
      <w:pPr>
        <w:pStyle w:val="17"/>
        <w:numPr>
          <w:ilvl w:val="0"/>
          <w:numId w:val="13"/>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pPr>
        <w:pStyle w:val="17"/>
        <w:numPr>
          <w:ilvl w:val="0"/>
          <w:numId w:val="13"/>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pPr>
        <w:pStyle w:val="8"/>
        <w:spacing w:before="6"/>
        <w:rPr>
          <w:color w:val="auto"/>
          <w:sz w:val="21"/>
          <w:szCs w:val="21"/>
          <w:highlight w:val="none"/>
        </w:rPr>
      </w:pPr>
    </w:p>
    <w:p>
      <w:pPr>
        <w:pStyle w:val="8"/>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pPr>
        <w:pStyle w:val="17"/>
        <w:numPr>
          <w:ilvl w:val="0"/>
          <w:numId w:val="14"/>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pPr>
        <w:pStyle w:val="8"/>
        <w:spacing w:before="6"/>
        <w:rPr>
          <w:color w:val="auto"/>
          <w:sz w:val="21"/>
          <w:szCs w:val="21"/>
          <w:highlight w:val="none"/>
        </w:rPr>
      </w:pPr>
    </w:p>
    <w:p>
      <w:pPr>
        <w:pStyle w:val="17"/>
        <w:numPr>
          <w:ilvl w:val="0"/>
          <w:numId w:val="14"/>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pPr>
        <w:pStyle w:val="17"/>
        <w:numPr>
          <w:ilvl w:val="0"/>
          <w:numId w:val="15"/>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pPr>
        <w:pStyle w:val="17"/>
        <w:numPr>
          <w:ilvl w:val="0"/>
          <w:numId w:val="15"/>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pPr>
        <w:pStyle w:val="17"/>
        <w:numPr>
          <w:ilvl w:val="0"/>
          <w:numId w:val="15"/>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pPr>
        <w:pStyle w:val="8"/>
        <w:spacing w:before="6"/>
        <w:rPr>
          <w:color w:val="auto"/>
          <w:sz w:val="21"/>
          <w:szCs w:val="21"/>
          <w:highlight w:val="none"/>
        </w:rPr>
      </w:pPr>
    </w:p>
    <w:p>
      <w:pPr>
        <w:pStyle w:val="17"/>
        <w:numPr>
          <w:ilvl w:val="0"/>
          <w:numId w:val="15"/>
        </w:numPr>
        <w:tabs>
          <w:tab w:val="left" w:pos="869"/>
        </w:tabs>
        <w:ind w:hanging="317"/>
        <w:jc w:val="left"/>
        <w:rPr>
          <w:color w:val="auto"/>
          <w:szCs w:val="21"/>
          <w:highlight w:val="none"/>
        </w:rPr>
      </w:pPr>
      <w:r>
        <w:rPr>
          <w:color w:val="auto"/>
          <w:szCs w:val="21"/>
          <w:highlight w:val="none"/>
        </w:rPr>
        <w:t>承包人保证执行“谁施工、谁负责”的施工安全原则。</w:t>
      </w:r>
    </w:p>
    <w:p>
      <w:pPr>
        <w:pStyle w:val="8"/>
        <w:spacing w:before="6"/>
        <w:rPr>
          <w:color w:val="auto"/>
          <w:sz w:val="21"/>
          <w:szCs w:val="21"/>
          <w:highlight w:val="none"/>
        </w:rPr>
      </w:pPr>
    </w:p>
    <w:p>
      <w:pPr>
        <w:pStyle w:val="17"/>
        <w:numPr>
          <w:ilvl w:val="0"/>
          <w:numId w:val="15"/>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pPr>
        <w:pStyle w:val="8"/>
        <w:spacing w:before="7"/>
        <w:rPr>
          <w:color w:val="auto"/>
          <w:sz w:val="21"/>
          <w:szCs w:val="21"/>
          <w:highlight w:val="none"/>
        </w:rPr>
      </w:pPr>
    </w:p>
    <w:p>
      <w:pPr>
        <w:pStyle w:val="17"/>
        <w:numPr>
          <w:ilvl w:val="0"/>
          <w:numId w:val="15"/>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pPr>
        <w:pStyle w:val="8"/>
        <w:spacing w:before="7"/>
        <w:rPr>
          <w:color w:val="auto"/>
          <w:sz w:val="21"/>
          <w:szCs w:val="21"/>
          <w:highlight w:val="none"/>
        </w:rPr>
      </w:pPr>
    </w:p>
    <w:p>
      <w:pPr>
        <w:pStyle w:val="17"/>
        <w:numPr>
          <w:ilvl w:val="0"/>
          <w:numId w:val="15"/>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pPr>
        <w:pStyle w:val="17"/>
        <w:numPr>
          <w:ilvl w:val="0"/>
          <w:numId w:val="15"/>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pPr>
        <w:pStyle w:val="8"/>
        <w:spacing w:before="6"/>
        <w:rPr>
          <w:color w:val="auto"/>
          <w:sz w:val="21"/>
          <w:szCs w:val="21"/>
          <w:highlight w:val="none"/>
        </w:rPr>
      </w:pPr>
    </w:p>
    <w:p>
      <w:pPr>
        <w:pStyle w:val="17"/>
        <w:numPr>
          <w:ilvl w:val="0"/>
          <w:numId w:val="15"/>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pPr>
        <w:pStyle w:val="17"/>
        <w:numPr>
          <w:ilvl w:val="0"/>
          <w:numId w:val="15"/>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pPr>
        <w:pStyle w:val="17"/>
        <w:numPr>
          <w:ilvl w:val="0"/>
          <w:numId w:val="15"/>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pPr>
        <w:pStyle w:val="17"/>
        <w:numPr>
          <w:ilvl w:val="0"/>
          <w:numId w:val="15"/>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pPr>
        <w:pStyle w:val="17"/>
        <w:numPr>
          <w:ilvl w:val="0"/>
          <w:numId w:val="15"/>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pPr>
        <w:pStyle w:val="17"/>
        <w:numPr>
          <w:ilvl w:val="0"/>
          <w:numId w:val="15"/>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pPr>
        <w:pStyle w:val="8"/>
        <w:spacing w:line="269" w:lineRule="exact"/>
        <w:ind w:left="723"/>
        <w:rPr>
          <w:color w:val="auto"/>
          <w:sz w:val="21"/>
          <w:szCs w:val="21"/>
          <w:highlight w:val="none"/>
        </w:rPr>
      </w:pPr>
      <w:r>
        <w:rPr>
          <w:color w:val="auto"/>
          <w:sz w:val="21"/>
          <w:szCs w:val="21"/>
          <w:highlight w:val="none"/>
        </w:rPr>
        <w:t>四、接口及协调</w:t>
      </w:r>
    </w:p>
    <w:p>
      <w:pPr>
        <w:pStyle w:val="8"/>
        <w:spacing w:before="4"/>
        <w:rPr>
          <w:color w:val="auto"/>
          <w:sz w:val="21"/>
          <w:szCs w:val="21"/>
          <w:highlight w:val="none"/>
        </w:rPr>
      </w:pPr>
    </w:p>
    <w:p>
      <w:pPr>
        <w:pStyle w:val="17"/>
        <w:numPr>
          <w:ilvl w:val="0"/>
          <w:numId w:val="16"/>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pPr>
        <w:pStyle w:val="17"/>
        <w:numPr>
          <w:ilvl w:val="0"/>
          <w:numId w:val="16"/>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pPr>
        <w:pStyle w:val="17"/>
        <w:numPr>
          <w:ilvl w:val="0"/>
          <w:numId w:val="16"/>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pPr>
        <w:pStyle w:val="17"/>
        <w:numPr>
          <w:ilvl w:val="0"/>
          <w:numId w:val="16"/>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pStyle w:val="17"/>
        <w:numPr>
          <w:ilvl w:val="0"/>
          <w:numId w:val="16"/>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pPr>
        <w:pStyle w:val="17"/>
        <w:numPr>
          <w:ilvl w:val="0"/>
          <w:numId w:val="16"/>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pPr>
        <w:pStyle w:val="17"/>
        <w:numPr>
          <w:ilvl w:val="0"/>
          <w:numId w:val="16"/>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pPr>
        <w:pStyle w:val="8"/>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pPr>
        <w:pStyle w:val="17"/>
        <w:numPr>
          <w:ilvl w:val="0"/>
          <w:numId w:val="17"/>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pPr>
        <w:pStyle w:val="8"/>
        <w:spacing w:before="5"/>
        <w:rPr>
          <w:color w:val="auto"/>
          <w:sz w:val="21"/>
          <w:szCs w:val="21"/>
          <w:highlight w:val="none"/>
        </w:rPr>
      </w:pPr>
    </w:p>
    <w:p>
      <w:pPr>
        <w:pStyle w:val="17"/>
        <w:numPr>
          <w:ilvl w:val="0"/>
          <w:numId w:val="17"/>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pPr>
        <w:pStyle w:val="17"/>
        <w:numPr>
          <w:ilvl w:val="0"/>
          <w:numId w:val="17"/>
        </w:numPr>
        <w:tabs>
          <w:tab w:val="left" w:pos="869"/>
        </w:tabs>
        <w:spacing w:line="269" w:lineRule="exact"/>
        <w:ind w:hanging="317"/>
        <w:jc w:val="left"/>
        <w:rPr>
          <w:color w:val="auto"/>
          <w:szCs w:val="21"/>
          <w:highlight w:val="none"/>
        </w:rPr>
      </w:pPr>
      <w:r>
        <w:rPr>
          <w:color w:val="auto"/>
          <w:szCs w:val="21"/>
          <w:highlight w:val="none"/>
        </w:rPr>
        <w:t>特种作业人员资格证书。</w:t>
      </w:r>
    </w:p>
    <w:p>
      <w:pPr>
        <w:pStyle w:val="8"/>
        <w:spacing w:before="6"/>
        <w:rPr>
          <w:color w:val="auto"/>
          <w:sz w:val="21"/>
          <w:szCs w:val="21"/>
          <w:highlight w:val="none"/>
        </w:rPr>
      </w:pPr>
    </w:p>
    <w:p>
      <w:pPr>
        <w:pStyle w:val="17"/>
        <w:numPr>
          <w:ilvl w:val="0"/>
          <w:numId w:val="17"/>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pPr>
        <w:pStyle w:val="8"/>
        <w:spacing w:before="7"/>
        <w:rPr>
          <w:color w:val="auto"/>
          <w:sz w:val="21"/>
          <w:szCs w:val="21"/>
          <w:highlight w:val="none"/>
        </w:rPr>
      </w:pPr>
    </w:p>
    <w:p>
      <w:pPr>
        <w:pStyle w:val="17"/>
        <w:numPr>
          <w:ilvl w:val="0"/>
          <w:numId w:val="17"/>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pPr>
        <w:pStyle w:val="8"/>
        <w:spacing w:line="269" w:lineRule="exact"/>
        <w:ind w:left="552"/>
        <w:rPr>
          <w:color w:val="auto"/>
          <w:sz w:val="21"/>
          <w:szCs w:val="21"/>
          <w:highlight w:val="none"/>
        </w:rPr>
      </w:pPr>
      <w:r>
        <w:rPr>
          <w:color w:val="auto"/>
          <w:sz w:val="21"/>
          <w:szCs w:val="21"/>
          <w:highlight w:val="none"/>
        </w:rPr>
        <w:t>承包人提供的人员必须满足下列要求：</w:t>
      </w:r>
    </w:p>
    <w:p>
      <w:pPr>
        <w:pStyle w:val="8"/>
        <w:spacing w:before="7"/>
        <w:rPr>
          <w:color w:val="auto"/>
          <w:sz w:val="21"/>
          <w:szCs w:val="21"/>
          <w:highlight w:val="none"/>
        </w:rPr>
      </w:pPr>
    </w:p>
    <w:p>
      <w:pPr>
        <w:pStyle w:val="17"/>
        <w:numPr>
          <w:ilvl w:val="0"/>
          <w:numId w:val="18"/>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pPr>
        <w:pStyle w:val="17"/>
        <w:numPr>
          <w:ilvl w:val="0"/>
          <w:numId w:val="18"/>
        </w:numPr>
        <w:tabs>
          <w:tab w:val="left" w:pos="869"/>
        </w:tabs>
        <w:spacing w:line="269" w:lineRule="exact"/>
        <w:ind w:left="868" w:hanging="317"/>
        <w:jc w:val="left"/>
        <w:rPr>
          <w:color w:val="auto"/>
          <w:szCs w:val="21"/>
          <w:highlight w:val="none"/>
        </w:rPr>
      </w:pPr>
      <w:r>
        <w:rPr>
          <w:color w:val="auto"/>
          <w:szCs w:val="21"/>
          <w:highlight w:val="none"/>
        </w:rPr>
        <w:t>无刑事案件牵连。</w:t>
      </w:r>
    </w:p>
    <w:p>
      <w:pPr>
        <w:pStyle w:val="8"/>
        <w:spacing w:before="6"/>
        <w:rPr>
          <w:color w:val="auto"/>
          <w:sz w:val="21"/>
          <w:szCs w:val="21"/>
          <w:highlight w:val="none"/>
        </w:rPr>
      </w:pPr>
    </w:p>
    <w:p>
      <w:pPr>
        <w:pStyle w:val="17"/>
        <w:numPr>
          <w:ilvl w:val="0"/>
          <w:numId w:val="18"/>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pPr>
        <w:pStyle w:val="17"/>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pPr>
        <w:pStyle w:val="17"/>
        <w:numPr>
          <w:ilvl w:val="0"/>
          <w:numId w:val="19"/>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pPr>
        <w:pStyle w:val="17"/>
        <w:numPr>
          <w:ilvl w:val="0"/>
          <w:numId w:val="19"/>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pPr>
        <w:pStyle w:val="8"/>
        <w:spacing w:before="6"/>
        <w:rPr>
          <w:color w:val="auto"/>
          <w:sz w:val="21"/>
          <w:szCs w:val="21"/>
          <w:highlight w:val="none"/>
        </w:rPr>
      </w:pPr>
    </w:p>
    <w:p>
      <w:pPr>
        <w:pStyle w:val="17"/>
        <w:numPr>
          <w:ilvl w:val="0"/>
          <w:numId w:val="19"/>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pPr>
        <w:pStyle w:val="8"/>
        <w:spacing w:before="7"/>
        <w:rPr>
          <w:color w:val="auto"/>
          <w:sz w:val="21"/>
          <w:szCs w:val="21"/>
          <w:highlight w:val="none"/>
        </w:rPr>
      </w:pPr>
    </w:p>
    <w:p>
      <w:pPr>
        <w:pStyle w:val="17"/>
        <w:numPr>
          <w:ilvl w:val="0"/>
          <w:numId w:val="19"/>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pPr>
        <w:pStyle w:val="17"/>
        <w:numPr>
          <w:ilvl w:val="0"/>
          <w:numId w:val="19"/>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pPr>
        <w:pStyle w:val="17"/>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pPr>
        <w:pStyle w:val="8"/>
        <w:spacing w:before="6"/>
        <w:rPr>
          <w:color w:val="auto"/>
          <w:sz w:val="21"/>
          <w:szCs w:val="21"/>
          <w:highlight w:val="none"/>
        </w:rPr>
      </w:pPr>
    </w:p>
    <w:p>
      <w:pPr>
        <w:pStyle w:val="17"/>
        <w:numPr>
          <w:ilvl w:val="1"/>
          <w:numId w:val="19"/>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pPr>
        <w:pStyle w:val="17"/>
        <w:numPr>
          <w:ilvl w:val="1"/>
          <w:numId w:val="19"/>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pPr>
        <w:pStyle w:val="8"/>
        <w:spacing w:line="269" w:lineRule="exact"/>
        <w:ind w:left="723"/>
        <w:rPr>
          <w:color w:val="auto"/>
          <w:sz w:val="21"/>
          <w:szCs w:val="21"/>
          <w:highlight w:val="none"/>
        </w:rPr>
      </w:pPr>
      <w:r>
        <w:rPr>
          <w:color w:val="auto"/>
          <w:sz w:val="21"/>
          <w:szCs w:val="21"/>
          <w:highlight w:val="none"/>
        </w:rPr>
        <w:t>九、开工前安全条件检查</w:t>
      </w:r>
    </w:p>
    <w:p>
      <w:pPr>
        <w:pStyle w:val="8"/>
        <w:spacing w:before="6"/>
        <w:rPr>
          <w:color w:val="auto"/>
          <w:sz w:val="21"/>
          <w:szCs w:val="21"/>
          <w:highlight w:val="none"/>
        </w:rPr>
      </w:pPr>
    </w:p>
    <w:p>
      <w:pPr>
        <w:pStyle w:val="17"/>
        <w:numPr>
          <w:ilvl w:val="0"/>
          <w:numId w:val="20"/>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pPr>
        <w:pStyle w:val="17"/>
        <w:numPr>
          <w:ilvl w:val="0"/>
          <w:numId w:val="20"/>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pPr>
        <w:pStyle w:val="17"/>
        <w:numPr>
          <w:ilvl w:val="0"/>
          <w:numId w:val="20"/>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pPr>
        <w:pStyle w:val="8"/>
        <w:spacing w:line="269" w:lineRule="exact"/>
        <w:ind w:left="723"/>
        <w:rPr>
          <w:color w:val="auto"/>
          <w:sz w:val="21"/>
          <w:szCs w:val="21"/>
          <w:highlight w:val="none"/>
        </w:rPr>
      </w:pPr>
      <w:r>
        <w:rPr>
          <w:color w:val="auto"/>
          <w:sz w:val="21"/>
          <w:szCs w:val="21"/>
          <w:highlight w:val="none"/>
        </w:rPr>
        <w:t>十、安全监督</w:t>
      </w:r>
    </w:p>
    <w:p>
      <w:pPr>
        <w:pStyle w:val="8"/>
        <w:spacing w:before="6"/>
        <w:rPr>
          <w:color w:val="auto"/>
          <w:sz w:val="21"/>
          <w:szCs w:val="21"/>
          <w:highlight w:val="none"/>
        </w:rPr>
      </w:pPr>
    </w:p>
    <w:p>
      <w:pPr>
        <w:pStyle w:val="17"/>
        <w:numPr>
          <w:ilvl w:val="0"/>
          <w:numId w:val="21"/>
        </w:numPr>
        <w:tabs>
          <w:tab w:val="left" w:pos="1039"/>
        </w:tabs>
        <w:jc w:val="left"/>
        <w:rPr>
          <w:color w:val="auto"/>
          <w:szCs w:val="21"/>
          <w:highlight w:val="none"/>
        </w:rPr>
      </w:pPr>
      <w:r>
        <w:rPr>
          <w:color w:val="auto"/>
          <w:szCs w:val="21"/>
          <w:highlight w:val="none"/>
        </w:rPr>
        <w:t>承包人应配备有满足项目安全管理需要的专职安全管理人员。</w:t>
      </w:r>
    </w:p>
    <w:p>
      <w:pPr>
        <w:pStyle w:val="8"/>
        <w:spacing w:before="6"/>
        <w:rPr>
          <w:color w:val="auto"/>
          <w:sz w:val="21"/>
          <w:szCs w:val="21"/>
          <w:highlight w:val="none"/>
        </w:rPr>
      </w:pPr>
    </w:p>
    <w:p>
      <w:pPr>
        <w:pStyle w:val="17"/>
        <w:numPr>
          <w:ilvl w:val="0"/>
          <w:numId w:val="21"/>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pPr>
        <w:pStyle w:val="8"/>
        <w:spacing w:before="7"/>
        <w:rPr>
          <w:color w:val="auto"/>
          <w:sz w:val="21"/>
          <w:szCs w:val="21"/>
          <w:highlight w:val="none"/>
        </w:rPr>
      </w:pPr>
    </w:p>
    <w:p>
      <w:pPr>
        <w:pStyle w:val="17"/>
        <w:numPr>
          <w:ilvl w:val="0"/>
          <w:numId w:val="21"/>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pPr>
        <w:pStyle w:val="17"/>
        <w:numPr>
          <w:ilvl w:val="0"/>
          <w:numId w:val="21"/>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pPr>
        <w:pStyle w:val="8"/>
        <w:spacing w:before="7"/>
        <w:rPr>
          <w:color w:val="auto"/>
          <w:sz w:val="21"/>
          <w:szCs w:val="21"/>
          <w:highlight w:val="none"/>
        </w:rPr>
      </w:pPr>
    </w:p>
    <w:p>
      <w:pPr>
        <w:pStyle w:val="17"/>
        <w:numPr>
          <w:ilvl w:val="0"/>
          <w:numId w:val="21"/>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pPr>
        <w:pStyle w:val="17"/>
        <w:numPr>
          <w:ilvl w:val="0"/>
          <w:numId w:val="21"/>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pPr>
        <w:pStyle w:val="8"/>
        <w:spacing w:before="7"/>
        <w:rPr>
          <w:color w:val="auto"/>
          <w:sz w:val="21"/>
          <w:szCs w:val="21"/>
          <w:highlight w:val="none"/>
        </w:rPr>
      </w:pPr>
    </w:p>
    <w:p>
      <w:pPr>
        <w:pStyle w:val="17"/>
        <w:numPr>
          <w:ilvl w:val="0"/>
          <w:numId w:val="21"/>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pPr>
        <w:pStyle w:val="8"/>
        <w:spacing w:line="269" w:lineRule="exact"/>
        <w:ind w:left="723"/>
        <w:rPr>
          <w:color w:val="auto"/>
          <w:sz w:val="21"/>
          <w:szCs w:val="21"/>
          <w:highlight w:val="none"/>
        </w:rPr>
      </w:pPr>
      <w:r>
        <w:rPr>
          <w:color w:val="auto"/>
          <w:sz w:val="21"/>
          <w:szCs w:val="21"/>
          <w:highlight w:val="none"/>
        </w:rPr>
        <w:t>十一、安全培训与授权</w:t>
      </w:r>
    </w:p>
    <w:p>
      <w:pPr>
        <w:pStyle w:val="17"/>
        <w:numPr>
          <w:ilvl w:val="0"/>
          <w:numId w:val="22"/>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pPr>
        <w:pStyle w:val="17"/>
        <w:numPr>
          <w:ilvl w:val="0"/>
          <w:numId w:val="22"/>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pPr>
        <w:pStyle w:val="17"/>
        <w:numPr>
          <w:ilvl w:val="0"/>
          <w:numId w:val="22"/>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pPr>
        <w:pStyle w:val="17"/>
        <w:numPr>
          <w:ilvl w:val="0"/>
          <w:numId w:val="22"/>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pPr>
        <w:pStyle w:val="8"/>
        <w:spacing w:line="269" w:lineRule="exact"/>
        <w:ind w:left="552"/>
        <w:rPr>
          <w:color w:val="auto"/>
          <w:sz w:val="21"/>
          <w:szCs w:val="21"/>
          <w:highlight w:val="none"/>
        </w:rPr>
      </w:pPr>
      <w:r>
        <w:rPr>
          <w:color w:val="auto"/>
          <w:sz w:val="21"/>
          <w:szCs w:val="21"/>
          <w:highlight w:val="none"/>
        </w:rPr>
        <w:t>十二、职业健康与卫生防疫</w:t>
      </w:r>
    </w:p>
    <w:p>
      <w:pPr>
        <w:pStyle w:val="8"/>
        <w:spacing w:before="6"/>
        <w:rPr>
          <w:color w:val="auto"/>
          <w:sz w:val="21"/>
          <w:szCs w:val="21"/>
          <w:highlight w:val="none"/>
        </w:rPr>
      </w:pPr>
    </w:p>
    <w:p>
      <w:pPr>
        <w:pStyle w:val="17"/>
        <w:numPr>
          <w:ilvl w:val="0"/>
          <w:numId w:val="23"/>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pPr>
        <w:pStyle w:val="17"/>
        <w:numPr>
          <w:ilvl w:val="0"/>
          <w:numId w:val="23"/>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pPr>
        <w:pStyle w:val="8"/>
        <w:spacing w:before="7"/>
        <w:rPr>
          <w:color w:val="auto"/>
          <w:sz w:val="21"/>
          <w:szCs w:val="21"/>
          <w:highlight w:val="none"/>
        </w:rPr>
      </w:pPr>
    </w:p>
    <w:p>
      <w:pPr>
        <w:pStyle w:val="17"/>
        <w:numPr>
          <w:ilvl w:val="0"/>
          <w:numId w:val="23"/>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pPr>
        <w:pStyle w:val="8"/>
        <w:spacing w:line="269" w:lineRule="exact"/>
        <w:ind w:left="552"/>
        <w:rPr>
          <w:color w:val="auto"/>
          <w:sz w:val="21"/>
          <w:szCs w:val="21"/>
          <w:highlight w:val="none"/>
        </w:rPr>
      </w:pPr>
      <w:r>
        <w:rPr>
          <w:color w:val="auto"/>
          <w:sz w:val="21"/>
          <w:szCs w:val="21"/>
          <w:highlight w:val="none"/>
        </w:rPr>
        <w:t>十三、文明施工与环保要求</w:t>
      </w:r>
    </w:p>
    <w:p>
      <w:pPr>
        <w:pStyle w:val="8"/>
        <w:spacing w:before="7"/>
        <w:rPr>
          <w:color w:val="auto"/>
          <w:sz w:val="21"/>
          <w:szCs w:val="21"/>
          <w:highlight w:val="none"/>
        </w:rPr>
      </w:pPr>
    </w:p>
    <w:p>
      <w:pPr>
        <w:pStyle w:val="17"/>
        <w:numPr>
          <w:ilvl w:val="0"/>
          <w:numId w:val="24"/>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pPr>
        <w:pStyle w:val="17"/>
        <w:numPr>
          <w:ilvl w:val="0"/>
          <w:numId w:val="24"/>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pPr>
        <w:pStyle w:val="8"/>
        <w:spacing w:before="6"/>
        <w:rPr>
          <w:color w:val="auto"/>
          <w:sz w:val="21"/>
          <w:szCs w:val="21"/>
          <w:highlight w:val="none"/>
        </w:rPr>
      </w:pPr>
    </w:p>
    <w:p>
      <w:pPr>
        <w:pStyle w:val="17"/>
        <w:numPr>
          <w:ilvl w:val="0"/>
          <w:numId w:val="24"/>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pPr>
        <w:pStyle w:val="17"/>
        <w:numPr>
          <w:ilvl w:val="0"/>
          <w:numId w:val="24"/>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pPr>
        <w:pStyle w:val="17"/>
        <w:numPr>
          <w:ilvl w:val="0"/>
          <w:numId w:val="24"/>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pStyle w:val="17"/>
        <w:numPr>
          <w:ilvl w:val="0"/>
          <w:numId w:val="24"/>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pPr>
        <w:pStyle w:val="8"/>
        <w:spacing w:before="5"/>
        <w:rPr>
          <w:color w:val="auto"/>
          <w:sz w:val="21"/>
          <w:szCs w:val="21"/>
          <w:highlight w:val="none"/>
        </w:rPr>
      </w:pPr>
    </w:p>
    <w:p>
      <w:pPr>
        <w:pStyle w:val="17"/>
        <w:numPr>
          <w:ilvl w:val="0"/>
          <w:numId w:val="24"/>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pPr>
        <w:pStyle w:val="8"/>
        <w:spacing w:line="269" w:lineRule="exact"/>
        <w:ind w:left="552"/>
        <w:rPr>
          <w:color w:val="auto"/>
          <w:sz w:val="21"/>
          <w:szCs w:val="21"/>
          <w:highlight w:val="none"/>
        </w:rPr>
      </w:pPr>
      <w:r>
        <w:rPr>
          <w:color w:val="auto"/>
          <w:sz w:val="21"/>
          <w:szCs w:val="21"/>
          <w:highlight w:val="none"/>
        </w:rPr>
        <w:t>十四、工程风险管理与事故预防</w:t>
      </w:r>
    </w:p>
    <w:p>
      <w:pPr>
        <w:pStyle w:val="8"/>
        <w:spacing w:before="6"/>
        <w:rPr>
          <w:color w:val="auto"/>
          <w:sz w:val="21"/>
          <w:szCs w:val="21"/>
          <w:highlight w:val="none"/>
        </w:rPr>
      </w:pPr>
    </w:p>
    <w:p>
      <w:pPr>
        <w:pStyle w:val="8"/>
        <w:ind w:left="552"/>
        <w:rPr>
          <w:color w:val="auto"/>
          <w:sz w:val="21"/>
          <w:szCs w:val="21"/>
          <w:highlight w:val="none"/>
        </w:rPr>
      </w:pPr>
      <w:r>
        <w:rPr>
          <w:color w:val="auto"/>
          <w:sz w:val="21"/>
          <w:szCs w:val="21"/>
          <w:highlight w:val="none"/>
        </w:rPr>
        <w:t>（一）基本要求</w:t>
      </w:r>
    </w:p>
    <w:p>
      <w:pPr>
        <w:pStyle w:val="8"/>
        <w:spacing w:before="7"/>
        <w:rPr>
          <w:color w:val="auto"/>
          <w:sz w:val="21"/>
          <w:szCs w:val="21"/>
          <w:highlight w:val="none"/>
        </w:rPr>
      </w:pPr>
    </w:p>
    <w:p>
      <w:pPr>
        <w:pStyle w:val="17"/>
        <w:numPr>
          <w:ilvl w:val="0"/>
          <w:numId w:val="25"/>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pPr>
        <w:pStyle w:val="17"/>
        <w:numPr>
          <w:ilvl w:val="1"/>
          <w:numId w:val="25"/>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pPr>
        <w:pStyle w:val="8"/>
        <w:spacing w:before="6"/>
        <w:rPr>
          <w:color w:val="auto"/>
          <w:sz w:val="21"/>
          <w:szCs w:val="21"/>
          <w:highlight w:val="none"/>
        </w:rPr>
      </w:pPr>
    </w:p>
    <w:p>
      <w:pPr>
        <w:pStyle w:val="17"/>
        <w:numPr>
          <w:ilvl w:val="1"/>
          <w:numId w:val="25"/>
        </w:numPr>
        <w:tabs>
          <w:tab w:val="left" w:pos="1250"/>
        </w:tabs>
        <w:spacing w:before="1"/>
        <w:jc w:val="left"/>
        <w:rPr>
          <w:color w:val="auto"/>
          <w:szCs w:val="21"/>
          <w:highlight w:val="none"/>
        </w:rPr>
      </w:pPr>
      <w:r>
        <w:rPr>
          <w:color w:val="auto"/>
          <w:szCs w:val="21"/>
          <w:highlight w:val="none"/>
        </w:rPr>
        <w:t>施工能源和机械的种类、数量和主要事故风险。</w:t>
      </w:r>
    </w:p>
    <w:p>
      <w:pPr>
        <w:pStyle w:val="8"/>
        <w:spacing w:before="6"/>
        <w:rPr>
          <w:color w:val="auto"/>
          <w:sz w:val="21"/>
          <w:szCs w:val="21"/>
          <w:highlight w:val="none"/>
        </w:rPr>
      </w:pPr>
    </w:p>
    <w:p>
      <w:pPr>
        <w:pStyle w:val="17"/>
        <w:numPr>
          <w:ilvl w:val="1"/>
          <w:numId w:val="25"/>
        </w:numPr>
        <w:tabs>
          <w:tab w:val="left" w:pos="1250"/>
        </w:tabs>
        <w:jc w:val="left"/>
        <w:rPr>
          <w:color w:val="auto"/>
          <w:szCs w:val="21"/>
          <w:highlight w:val="none"/>
        </w:rPr>
      </w:pPr>
      <w:r>
        <w:rPr>
          <w:color w:val="auto"/>
          <w:szCs w:val="21"/>
          <w:highlight w:val="none"/>
        </w:rPr>
        <w:t>施工作业条件的类型和主要事故风险。</w:t>
      </w:r>
    </w:p>
    <w:p>
      <w:pPr>
        <w:pStyle w:val="8"/>
        <w:spacing w:before="7"/>
        <w:rPr>
          <w:color w:val="auto"/>
          <w:sz w:val="21"/>
          <w:szCs w:val="21"/>
          <w:highlight w:val="none"/>
        </w:rPr>
      </w:pPr>
    </w:p>
    <w:p>
      <w:pPr>
        <w:pStyle w:val="17"/>
        <w:numPr>
          <w:ilvl w:val="1"/>
          <w:numId w:val="25"/>
        </w:numPr>
        <w:tabs>
          <w:tab w:val="left" w:pos="1250"/>
        </w:tabs>
        <w:jc w:val="left"/>
        <w:rPr>
          <w:color w:val="auto"/>
          <w:szCs w:val="21"/>
          <w:highlight w:val="none"/>
        </w:rPr>
      </w:pPr>
      <w:r>
        <w:rPr>
          <w:color w:val="auto"/>
          <w:szCs w:val="21"/>
          <w:highlight w:val="none"/>
        </w:rPr>
        <w:t>主要工艺过程（或施工活动）的类别及其相关的事故风险。</w:t>
      </w:r>
    </w:p>
    <w:p>
      <w:pPr>
        <w:pStyle w:val="8"/>
        <w:spacing w:before="7"/>
        <w:rPr>
          <w:color w:val="auto"/>
          <w:sz w:val="21"/>
          <w:szCs w:val="21"/>
          <w:highlight w:val="none"/>
        </w:rPr>
      </w:pPr>
    </w:p>
    <w:p>
      <w:pPr>
        <w:pStyle w:val="17"/>
        <w:numPr>
          <w:ilvl w:val="1"/>
          <w:numId w:val="25"/>
        </w:numPr>
        <w:tabs>
          <w:tab w:val="left" w:pos="1250"/>
        </w:tabs>
        <w:jc w:val="left"/>
        <w:rPr>
          <w:color w:val="auto"/>
          <w:szCs w:val="21"/>
          <w:highlight w:val="none"/>
        </w:rPr>
      </w:pPr>
      <w:r>
        <w:rPr>
          <w:color w:val="auto"/>
          <w:szCs w:val="21"/>
          <w:highlight w:val="none"/>
        </w:rPr>
        <w:t>主要火灾危险（可燃物、点火源）。</w:t>
      </w:r>
    </w:p>
    <w:p>
      <w:pPr>
        <w:pStyle w:val="8"/>
        <w:spacing w:before="6"/>
        <w:rPr>
          <w:color w:val="auto"/>
          <w:sz w:val="21"/>
          <w:szCs w:val="21"/>
          <w:highlight w:val="none"/>
        </w:rPr>
      </w:pPr>
    </w:p>
    <w:p>
      <w:pPr>
        <w:pStyle w:val="17"/>
        <w:numPr>
          <w:ilvl w:val="1"/>
          <w:numId w:val="25"/>
        </w:numPr>
        <w:tabs>
          <w:tab w:val="left" w:pos="1250"/>
        </w:tabs>
        <w:spacing w:before="1"/>
        <w:jc w:val="left"/>
        <w:rPr>
          <w:color w:val="auto"/>
          <w:szCs w:val="21"/>
          <w:highlight w:val="none"/>
        </w:rPr>
      </w:pPr>
      <w:r>
        <w:rPr>
          <w:color w:val="auto"/>
          <w:szCs w:val="21"/>
          <w:highlight w:val="none"/>
        </w:rPr>
        <w:t>主要自然灾害（洪水、大风、雷暴、暴雨、地质灾害等）。</w:t>
      </w:r>
    </w:p>
    <w:p>
      <w:pPr>
        <w:pStyle w:val="8"/>
        <w:spacing w:before="6"/>
        <w:rPr>
          <w:color w:val="auto"/>
          <w:sz w:val="21"/>
          <w:szCs w:val="21"/>
          <w:highlight w:val="none"/>
        </w:rPr>
      </w:pPr>
    </w:p>
    <w:p>
      <w:pPr>
        <w:pStyle w:val="17"/>
        <w:numPr>
          <w:ilvl w:val="1"/>
          <w:numId w:val="25"/>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pPr>
        <w:pStyle w:val="8"/>
        <w:spacing w:before="7"/>
        <w:rPr>
          <w:color w:val="auto"/>
          <w:sz w:val="21"/>
          <w:szCs w:val="21"/>
          <w:highlight w:val="none"/>
        </w:rPr>
      </w:pPr>
    </w:p>
    <w:p>
      <w:pPr>
        <w:pStyle w:val="17"/>
        <w:numPr>
          <w:ilvl w:val="1"/>
          <w:numId w:val="25"/>
        </w:numPr>
        <w:tabs>
          <w:tab w:val="left" w:pos="1250"/>
        </w:tabs>
        <w:jc w:val="left"/>
        <w:rPr>
          <w:color w:val="auto"/>
          <w:szCs w:val="21"/>
          <w:highlight w:val="none"/>
        </w:rPr>
      </w:pPr>
      <w:r>
        <w:rPr>
          <w:color w:val="auto"/>
          <w:szCs w:val="21"/>
          <w:highlight w:val="none"/>
        </w:rPr>
        <w:t>其他。</w:t>
      </w:r>
    </w:p>
    <w:p>
      <w:pPr>
        <w:pStyle w:val="8"/>
        <w:spacing w:before="7"/>
        <w:rPr>
          <w:color w:val="auto"/>
          <w:sz w:val="21"/>
          <w:szCs w:val="21"/>
          <w:highlight w:val="none"/>
        </w:rPr>
      </w:pPr>
    </w:p>
    <w:p>
      <w:pPr>
        <w:pStyle w:val="17"/>
        <w:numPr>
          <w:ilvl w:val="0"/>
          <w:numId w:val="25"/>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pPr>
        <w:pStyle w:val="8"/>
        <w:spacing w:before="6"/>
        <w:rPr>
          <w:color w:val="auto"/>
          <w:sz w:val="21"/>
          <w:szCs w:val="21"/>
          <w:highlight w:val="none"/>
        </w:rPr>
      </w:pPr>
    </w:p>
    <w:p>
      <w:pPr>
        <w:pStyle w:val="17"/>
        <w:numPr>
          <w:ilvl w:val="0"/>
          <w:numId w:val="25"/>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pPr>
        <w:pStyle w:val="8"/>
        <w:spacing w:line="269" w:lineRule="exact"/>
        <w:ind w:left="723"/>
        <w:rPr>
          <w:color w:val="auto"/>
          <w:sz w:val="21"/>
          <w:szCs w:val="21"/>
          <w:highlight w:val="none"/>
        </w:rPr>
      </w:pPr>
      <w:r>
        <w:rPr>
          <w:color w:val="auto"/>
          <w:sz w:val="21"/>
          <w:szCs w:val="21"/>
          <w:highlight w:val="none"/>
        </w:rPr>
        <w:t>（二）现场作业基本安全条件</w:t>
      </w:r>
    </w:p>
    <w:p>
      <w:pPr>
        <w:pStyle w:val="8"/>
        <w:spacing w:before="6"/>
        <w:rPr>
          <w:color w:val="auto"/>
          <w:sz w:val="21"/>
          <w:szCs w:val="21"/>
          <w:highlight w:val="none"/>
        </w:rPr>
      </w:pPr>
    </w:p>
    <w:p>
      <w:pPr>
        <w:pStyle w:val="8"/>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pPr>
        <w:pStyle w:val="8"/>
        <w:spacing w:line="269" w:lineRule="exact"/>
        <w:ind w:left="723"/>
        <w:rPr>
          <w:color w:val="auto"/>
          <w:sz w:val="21"/>
          <w:szCs w:val="21"/>
          <w:highlight w:val="none"/>
        </w:rPr>
      </w:pPr>
      <w:r>
        <w:rPr>
          <w:color w:val="auto"/>
          <w:sz w:val="21"/>
          <w:szCs w:val="21"/>
          <w:highlight w:val="none"/>
        </w:rPr>
        <w:t>十五、事故报告与应急救援</w:t>
      </w:r>
    </w:p>
    <w:p>
      <w:pPr>
        <w:pStyle w:val="8"/>
        <w:spacing w:before="7"/>
        <w:rPr>
          <w:color w:val="auto"/>
          <w:sz w:val="21"/>
          <w:szCs w:val="21"/>
          <w:highlight w:val="none"/>
        </w:rPr>
      </w:pPr>
    </w:p>
    <w:p>
      <w:pPr>
        <w:pStyle w:val="17"/>
        <w:numPr>
          <w:ilvl w:val="0"/>
          <w:numId w:val="26"/>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pPr>
        <w:pStyle w:val="17"/>
        <w:numPr>
          <w:ilvl w:val="0"/>
          <w:numId w:val="26"/>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pPr>
        <w:pStyle w:val="17"/>
        <w:numPr>
          <w:ilvl w:val="0"/>
          <w:numId w:val="26"/>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pPr>
        <w:pStyle w:val="17"/>
        <w:numPr>
          <w:ilvl w:val="0"/>
          <w:numId w:val="26"/>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pPr>
        <w:pStyle w:val="8"/>
        <w:spacing w:before="6"/>
        <w:rPr>
          <w:color w:val="auto"/>
          <w:sz w:val="21"/>
          <w:szCs w:val="21"/>
          <w:highlight w:val="none"/>
        </w:rPr>
      </w:pPr>
    </w:p>
    <w:p>
      <w:pPr>
        <w:pStyle w:val="17"/>
        <w:numPr>
          <w:ilvl w:val="0"/>
          <w:numId w:val="26"/>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pPr>
        <w:pStyle w:val="17"/>
        <w:numPr>
          <w:ilvl w:val="0"/>
          <w:numId w:val="26"/>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pPr>
        <w:pStyle w:val="8"/>
        <w:spacing w:before="7"/>
        <w:rPr>
          <w:color w:val="auto"/>
          <w:sz w:val="21"/>
          <w:szCs w:val="21"/>
          <w:highlight w:val="none"/>
        </w:rPr>
      </w:pPr>
    </w:p>
    <w:p>
      <w:pPr>
        <w:pStyle w:val="17"/>
        <w:numPr>
          <w:ilvl w:val="0"/>
          <w:numId w:val="26"/>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pPr>
        <w:pStyle w:val="8"/>
        <w:spacing w:before="6"/>
        <w:rPr>
          <w:color w:val="auto"/>
          <w:sz w:val="21"/>
          <w:szCs w:val="21"/>
          <w:highlight w:val="none"/>
        </w:rPr>
      </w:pPr>
    </w:p>
    <w:p>
      <w:pPr>
        <w:pStyle w:val="17"/>
        <w:numPr>
          <w:ilvl w:val="0"/>
          <w:numId w:val="26"/>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pPr>
        <w:pStyle w:val="17"/>
        <w:numPr>
          <w:ilvl w:val="0"/>
          <w:numId w:val="26"/>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pPr>
        <w:pStyle w:val="17"/>
        <w:numPr>
          <w:ilvl w:val="0"/>
          <w:numId w:val="26"/>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pPr>
        <w:pStyle w:val="8"/>
        <w:spacing w:line="269" w:lineRule="exact"/>
        <w:ind w:left="552"/>
        <w:rPr>
          <w:color w:val="auto"/>
          <w:sz w:val="21"/>
          <w:szCs w:val="21"/>
          <w:highlight w:val="none"/>
        </w:rPr>
      </w:pPr>
      <w:r>
        <w:rPr>
          <w:color w:val="auto"/>
          <w:sz w:val="21"/>
          <w:szCs w:val="21"/>
          <w:highlight w:val="none"/>
        </w:rPr>
        <w:t>十六、安全业绩考核</w:t>
      </w:r>
    </w:p>
    <w:p>
      <w:pPr>
        <w:pStyle w:val="8"/>
        <w:spacing w:before="6"/>
        <w:rPr>
          <w:color w:val="auto"/>
          <w:sz w:val="21"/>
          <w:szCs w:val="21"/>
          <w:highlight w:val="none"/>
        </w:rPr>
      </w:pPr>
    </w:p>
    <w:p>
      <w:pPr>
        <w:pStyle w:val="8"/>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pPr>
                              <w:pStyle w:val="8"/>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d4baAAAACgEAAA8AAAAA&#10;AAAAAQAgAAAAIgAAAGRycy9kb3ducmV2LnhtbFBLAQIUABQAAAAIAIdO4kDEYhS2oAEAACUDAAAO&#10;AAAAAAAAAAEAIAAAACkBAABkcnMvZTJvRG9jLnhtbFBLBQYAAAAABgAGAFkBAAA7BQAAAAA=&#10;">
                <v:fill on="f" focussize="0,0"/>
                <v:stroke on="f"/>
                <v:imagedata o:title=""/>
                <o:lock v:ext="edit" aspectratio="f"/>
                <v:textbox inset="0mm,0mm,0mm,0mm">
                  <w:txbxContent>
                    <w:p>
                      <w:pPr>
                        <w:pStyle w:val="8"/>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93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4" w:hRule="atLeast"/>
        </w:trPr>
        <w:tc>
          <w:tcPr>
            <w:tcW w:w="3283" w:type="dxa"/>
            <w:noWrap w:val="0"/>
            <w:vAlign w:val="top"/>
          </w:tcPr>
          <w:p>
            <w:pPr>
              <w:pStyle w:val="16"/>
              <w:spacing w:before="99"/>
              <w:ind w:left="526"/>
              <w:rPr>
                <w:color w:val="auto"/>
                <w:szCs w:val="21"/>
                <w:highlight w:val="none"/>
              </w:rPr>
            </w:pPr>
            <w:r>
              <w:rPr>
                <w:color w:val="auto"/>
                <w:szCs w:val="21"/>
                <w:highlight w:val="none"/>
              </w:rPr>
              <w:t>事件类型</w:t>
            </w:r>
          </w:p>
        </w:tc>
        <w:tc>
          <w:tcPr>
            <w:tcW w:w="3816" w:type="dxa"/>
            <w:noWrap w:val="0"/>
            <w:vAlign w:val="top"/>
          </w:tcPr>
          <w:p>
            <w:pPr>
              <w:pStyle w:val="16"/>
              <w:spacing w:before="99"/>
              <w:ind w:left="526"/>
              <w:rPr>
                <w:color w:val="auto"/>
                <w:szCs w:val="21"/>
                <w:highlight w:val="none"/>
              </w:rPr>
            </w:pPr>
            <w:r>
              <w:rPr>
                <w:color w:val="auto"/>
                <w:szCs w:val="21"/>
                <w:highlight w:val="none"/>
              </w:rPr>
              <w:t>违约金额</w:t>
            </w:r>
          </w:p>
        </w:tc>
        <w:tc>
          <w:tcPr>
            <w:tcW w:w="2226" w:type="dxa"/>
            <w:noWrap w:val="0"/>
            <w:vAlign w:val="top"/>
          </w:tcPr>
          <w:p>
            <w:pPr>
              <w:pStyle w:val="16"/>
              <w:spacing w:before="99"/>
              <w:ind w:left="526"/>
              <w:rPr>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3283" w:type="dxa"/>
            <w:noWrap w:val="0"/>
            <w:vAlign w:val="top"/>
          </w:tcPr>
          <w:p>
            <w:pPr>
              <w:pStyle w:val="16"/>
              <w:spacing w:before="98"/>
              <w:ind w:left="526"/>
              <w:rPr>
                <w:color w:val="auto"/>
                <w:szCs w:val="21"/>
                <w:highlight w:val="none"/>
              </w:rPr>
            </w:pPr>
            <w:r>
              <w:rPr>
                <w:color w:val="auto"/>
                <w:szCs w:val="21"/>
                <w:highlight w:val="none"/>
              </w:rPr>
              <w:t>较大事故</w:t>
            </w:r>
          </w:p>
        </w:tc>
        <w:tc>
          <w:tcPr>
            <w:tcW w:w="3816" w:type="dxa"/>
            <w:noWrap w:val="0"/>
            <w:vAlign w:val="top"/>
          </w:tcPr>
          <w:p>
            <w:pPr>
              <w:pStyle w:val="16"/>
              <w:spacing w:before="98"/>
              <w:ind w:left="430"/>
              <w:rPr>
                <w:color w:val="auto"/>
                <w:szCs w:val="21"/>
                <w:highlight w:val="none"/>
              </w:rPr>
            </w:pPr>
            <w:r>
              <w:rPr>
                <w:color w:val="auto"/>
                <w:szCs w:val="21"/>
                <w:highlight w:val="none"/>
              </w:rPr>
              <w:t>签约合同价的 0.5‰</w:t>
            </w:r>
          </w:p>
        </w:tc>
        <w:tc>
          <w:tcPr>
            <w:tcW w:w="2226" w:type="dxa"/>
            <w:noWrap w:val="0"/>
            <w:vAlign w:val="top"/>
          </w:tcPr>
          <w:p>
            <w:pPr>
              <w:pStyle w:val="16"/>
              <w:spacing w:before="98"/>
              <w:ind w:left="430"/>
              <w:rPr>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3283" w:type="dxa"/>
            <w:noWrap w:val="0"/>
            <w:vAlign w:val="top"/>
          </w:tcPr>
          <w:p>
            <w:pPr>
              <w:pStyle w:val="16"/>
              <w:spacing w:before="100"/>
              <w:ind w:left="526"/>
              <w:rPr>
                <w:color w:val="auto"/>
                <w:szCs w:val="21"/>
                <w:highlight w:val="none"/>
              </w:rPr>
            </w:pPr>
            <w:r>
              <w:rPr>
                <w:color w:val="auto"/>
                <w:szCs w:val="21"/>
                <w:highlight w:val="none"/>
              </w:rPr>
              <w:t>重大事故</w:t>
            </w:r>
          </w:p>
        </w:tc>
        <w:tc>
          <w:tcPr>
            <w:tcW w:w="3816" w:type="dxa"/>
            <w:noWrap w:val="0"/>
            <w:vAlign w:val="top"/>
          </w:tcPr>
          <w:p>
            <w:pPr>
              <w:pStyle w:val="16"/>
              <w:spacing w:before="100"/>
              <w:ind w:left="430"/>
              <w:rPr>
                <w:color w:val="auto"/>
                <w:szCs w:val="21"/>
                <w:highlight w:val="none"/>
              </w:rPr>
            </w:pPr>
            <w:r>
              <w:rPr>
                <w:color w:val="auto"/>
                <w:szCs w:val="21"/>
                <w:highlight w:val="none"/>
              </w:rPr>
              <w:t>签约合同价的 2‰</w:t>
            </w:r>
          </w:p>
        </w:tc>
        <w:tc>
          <w:tcPr>
            <w:tcW w:w="2226" w:type="dxa"/>
            <w:noWrap w:val="0"/>
            <w:vAlign w:val="top"/>
          </w:tcPr>
          <w:p>
            <w:pPr>
              <w:pStyle w:val="16"/>
              <w:spacing w:before="100"/>
              <w:ind w:left="430"/>
              <w:rPr>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3283" w:type="dxa"/>
            <w:noWrap w:val="0"/>
            <w:vAlign w:val="top"/>
          </w:tcPr>
          <w:p>
            <w:pPr>
              <w:pStyle w:val="16"/>
              <w:spacing w:before="99"/>
              <w:ind w:left="526"/>
              <w:rPr>
                <w:color w:val="auto"/>
                <w:szCs w:val="21"/>
                <w:highlight w:val="none"/>
              </w:rPr>
            </w:pPr>
            <w:r>
              <w:rPr>
                <w:color w:val="auto"/>
                <w:szCs w:val="21"/>
                <w:highlight w:val="none"/>
              </w:rPr>
              <w:t>特别重大事故</w:t>
            </w:r>
          </w:p>
        </w:tc>
        <w:tc>
          <w:tcPr>
            <w:tcW w:w="3816" w:type="dxa"/>
            <w:noWrap w:val="0"/>
            <w:vAlign w:val="top"/>
          </w:tcPr>
          <w:p>
            <w:pPr>
              <w:pStyle w:val="16"/>
              <w:spacing w:before="99"/>
              <w:ind w:left="430"/>
              <w:rPr>
                <w:color w:val="auto"/>
                <w:szCs w:val="21"/>
                <w:highlight w:val="none"/>
              </w:rPr>
            </w:pPr>
            <w:r>
              <w:rPr>
                <w:color w:val="auto"/>
                <w:szCs w:val="21"/>
                <w:highlight w:val="none"/>
              </w:rPr>
              <w:t>签约合同价的 4‰</w:t>
            </w:r>
          </w:p>
        </w:tc>
        <w:tc>
          <w:tcPr>
            <w:tcW w:w="2226" w:type="dxa"/>
            <w:noWrap w:val="0"/>
            <w:vAlign w:val="top"/>
          </w:tcPr>
          <w:p>
            <w:pPr>
              <w:pStyle w:val="16"/>
              <w:spacing w:before="99"/>
              <w:ind w:left="430"/>
              <w:rPr>
                <w:color w:val="auto"/>
                <w:szCs w:val="21"/>
                <w:highlight w:val="none"/>
              </w:rPr>
            </w:pPr>
          </w:p>
        </w:tc>
      </w:tr>
    </w:tbl>
    <w:p>
      <w:pPr>
        <w:rPr>
          <w:color w:val="auto"/>
          <w:szCs w:val="21"/>
          <w:highlight w:val="none"/>
        </w:rPr>
      </w:pPr>
    </w:p>
    <w:p>
      <w:pPr>
        <w:pStyle w:val="17"/>
        <w:numPr>
          <w:ilvl w:val="0"/>
          <w:numId w:val="27"/>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pPr>
        <w:pStyle w:val="8"/>
        <w:spacing w:before="6"/>
        <w:rPr>
          <w:color w:val="auto"/>
          <w:sz w:val="21"/>
          <w:szCs w:val="21"/>
          <w:highlight w:val="none"/>
        </w:rPr>
      </w:pPr>
    </w:p>
    <w:p>
      <w:pPr>
        <w:pStyle w:val="8"/>
        <w:spacing w:before="1"/>
        <w:ind w:left="132"/>
        <w:rPr>
          <w:color w:val="auto"/>
          <w:sz w:val="21"/>
          <w:szCs w:val="21"/>
          <w:highlight w:val="none"/>
        </w:rPr>
      </w:pPr>
      <w:r>
        <w:rPr>
          <w:color w:val="auto"/>
          <w:sz w:val="21"/>
          <w:szCs w:val="21"/>
          <w:highlight w:val="none"/>
        </w:rPr>
        <w:t>以上 5000 万元以下直接经济损失的事故；</w:t>
      </w:r>
    </w:p>
    <w:p>
      <w:pPr>
        <w:pStyle w:val="8"/>
        <w:spacing w:before="6"/>
        <w:rPr>
          <w:color w:val="auto"/>
          <w:sz w:val="21"/>
          <w:szCs w:val="21"/>
          <w:highlight w:val="none"/>
        </w:rPr>
      </w:pPr>
    </w:p>
    <w:p>
      <w:pPr>
        <w:pStyle w:val="17"/>
        <w:numPr>
          <w:ilvl w:val="0"/>
          <w:numId w:val="27"/>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pPr>
        <w:pStyle w:val="8"/>
        <w:spacing w:before="7"/>
        <w:rPr>
          <w:color w:val="auto"/>
          <w:sz w:val="21"/>
          <w:szCs w:val="21"/>
          <w:highlight w:val="none"/>
        </w:rPr>
      </w:pPr>
    </w:p>
    <w:p>
      <w:pPr>
        <w:pStyle w:val="8"/>
        <w:ind w:left="132"/>
        <w:rPr>
          <w:color w:val="auto"/>
          <w:sz w:val="21"/>
          <w:szCs w:val="21"/>
          <w:highlight w:val="none"/>
        </w:rPr>
      </w:pPr>
      <w:r>
        <w:rPr>
          <w:color w:val="auto"/>
          <w:sz w:val="21"/>
          <w:szCs w:val="21"/>
          <w:highlight w:val="none"/>
        </w:rPr>
        <w:t>万元以上 1 亿元以下直接经济损失的事故；</w:t>
      </w:r>
    </w:p>
    <w:p>
      <w:pPr>
        <w:pStyle w:val="8"/>
        <w:spacing w:before="7"/>
        <w:rPr>
          <w:color w:val="auto"/>
          <w:sz w:val="21"/>
          <w:szCs w:val="21"/>
          <w:highlight w:val="none"/>
        </w:rPr>
      </w:pPr>
    </w:p>
    <w:p>
      <w:pPr>
        <w:pStyle w:val="17"/>
        <w:numPr>
          <w:ilvl w:val="0"/>
          <w:numId w:val="27"/>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pPr>
        <w:pStyle w:val="8"/>
        <w:spacing w:before="6"/>
        <w:rPr>
          <w:color w:val="auto"/>
          <w:sz w:val="21"/>
          <w:szCs w:val="21"/>
          <w:highlight w:val="none"/>
        </w:rPr>
      </w:pPr>
    </w:p>
    <w:p>
      <w:pPr>
        <w:pStyle w:val="8"/>
        <w:spacing w:before="1"/>
        <w:ind w:left="132"/>
        <w:rPr>
          <w:color w:val="auto"/>
          <w:sz w:val="21"/>
          <w:szCs w:val="21"/>
          <w:highlight w:val="none"/>
        </w:rPr>
      </w:pPr>
      <w:r>
        <w:rPr>
          <w:color w:val="auto"/>
          <w:sz w:val="21"/>
          <w:szCs w:val="21"/>
          <w:highlight w:val="none"/>
        </w:rPr>
        <w:t>或者 1 亿元以上直接经济损失的事故；</w:t>
      </w:r>
    </w:p>
    <w:p>
      <w:pPr>
        <w:pStyle w:val="8"/>
        <w:spacing w:before="6"/>
        <w:rPr>
          <w:color w:val="auto"/>
          <w:sz w:val="21"/>
          <w:szCs w:val="21"/>
          <w:highlight w:val="none"/>
        </w:rPr>
      </w:pPr>
    </w:p>
    <w:p>
      <w:pPr>
        <w:pStyle w:val="17"/>
        <w:numPr>
          <w:ilvl w:val="0"/>
          <w:numId w:val="27"/>
        </w:numPr>
        <w:tabs>
          <w:tab w:val="left" w:pos="1080"/>
        </w:tabs>
        <w:ind w:hanging="528"/>
        <w:jc w:val="left"/>
        <w:rPr>
          <w:color w:val="auto"/>
          <w:szCs w:val="21"/>
          <w:highlight w:val="none"/>
        </w:rPr>
      </w:pPr>
      <w:r>
        <w:rPr>
          <w:color w:val="auto"/>
          <w:szCs w:val="21"/>
          <w:highlight w:val="none"/>
        </w:rPr>
        <w:t>所称的“以上”包括本数，所称的“以下”不包括本数。</w:t>
      </w:r>
    </w:p>
    <w:p>
      <w:pPr>
        <w:pStyle w:val="8"/>
        <w:spacing w:before="7"/>
        <w:rPr>
          <w:color w:val="auto"/>
          <w:sz w:val="21"/>
          <w:szCs w:val="21"/>
          <w:highlight w:val="none"/>
        </w:rPr>
      </w:pPr>
    </w:p>
    <w:p>
      <w:pPr>
        <w:pStyle w:val="17"/>
        <w:numPr>
          <w:ilvl w:val="0"/>
          <w:numId w:val="27"/>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pPr>
        <w:pStyle w:val="8"/>
        <w:spacing w:before="7"/>
        <w:rPr>
          <w:color w:val="auto"/>
          <w:sz w:val="21"/>
          <w:szCs w:val="21"/>
          <w:highlight w:val="none"/>
        </w:rPr>
      </w:pPr>
    </w:p>
    <w:p>
      <w:pPr>
        <w:pStyle w:val="8"/>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pPr>
        <w:pStyle w:val="8"/>
        <w:spacing w:line="269" w:lineRule="exact"/>
        <w:ind w:left="552"/>
        <w:rPr>
          <w:color w:val="auto"/>
          <w:sz w:val="21"/>
          <w:szCs w:val="21"/>
          <w:highlight w:val="none"/>
        </w:rPr>
      </w:pPr>
      <w:r>
        <w:rPr>
          <w:color w:val="auto"/>
          <w:sz w:val="21"/>
          <w:szCs w:val="21"/>
          <w:highlight w:val="none"/>
        </w:rPr>
        <w:t>十七、协议条款的修订</w:t>
      </w:r>
    </w:p>
    <w:p>
      <w:pPr>
        <w:pStyle w:val="8"/>
        <w:spacing w:before="6"/>
        <w:rPr>
          <w:color w:val="auto"/>
          <w:sz w:val="21"/>
          <w:szCs w:val="21"/>
          <w:highlight w:val="none"/>
        </w:rPr>
      </w:pPr>
    </w:p>
    <w:p>
      <w:pPr>
        <w:pStyle w:val="8"/>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pPr>
        <w:pStyle w:val="8"/>
        <w:spacing w:before="6"/>
        <w:rPr>
          <w:color w:val="auto"/>
          <w:sz w:val="21"/>
          <w:szCs w:val="21"/>
          <w:highlight w:val="none"/>
        </w:rPr>
      </w:pPr>
    </w:p>
    <w:p>
      <w:pPr>
        <w:pStyle w:val="8"/>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pPr>
        <w:pStyle w:val="8"/>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pPr>
        <w:pStyle w:val="8"/>
        <w:tabs>
          <w:tab w:val="left" w:pos="5880"/>
        </w:tabs>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pPr>
        <w:pStyle w:val="8"/>
        <w:spacing w:before="9"/>
        <w:rPr>
          <w:color w:val="auto"/>
          <w:sz w:val="21"/>
          <w:szCs w:val="21"/>
          <w:highlight w:val="none"/>
        </w:rPr>
      </w:pPr>
    </w:p>
    <w:p>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pPr>
        <w:pStyle w:val="8"/>
        <w:spacing w:before="7"/>
        <w:rPr>
          <w:color w:val="auto"/>
          <w:sz w:val="21"/>
          <w:szCs w:val="21"/>
          <w:highlight w:val="none"/>
        </w:rPr>
      </w:pPr>
    </w:p>
    <w:p>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pPr>
        <w:pStyle w:val="8"/>
        <w:spacing w:before="4"/>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pPr>
        <w:spacing w:line="219" w:lineRule="exact"/>
        <w:ind w:firstLine="210" w:firstLineChars="100"/>
        <w:rPr>
          <w:rFonts w:hint="eastAsia"/>
          <w:color w:val="auto"/>
          <w:szCs w:val="21"/>
          <w:highlight w:val="none"/>
        </w:rPr>
      </w:pPr>
    </w:p>
    <w:p>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pPr>
        <w:pStyle w:val="8"/>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pPr>
        <w:pStyle w:val="8"/>
        <w:spacing w:before="4"/>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pPr>
        <w:pStyle w:val="8"/>
        <w:spacing w:before="9"/>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地址：</w:t>
      </w:r>
    </w:p>
    <w:p>
      <w:pPr>
        <w:pStyle w:val="8"/>
        <w:spacing w:before="4"/>
        <w:rPr>
          <w:color w:val="auto"/>
          <w:sz w:val="21"/>
          <w:szCs w:val="21"/>
          <w:highlight w:val="none"/>
        </w:rPr>
      </w:pPr>
    </w:p>
    <w:p>
      <w:pPr>
        <w:pStyle w:val="8"/>
        <w:tabs>
          <w:tab w:val="left" w:pos="5974"/>
        </w:tabs>
        <w:rPr>
          <w:color w:val="auto"/>
          <w:sz w:val="21"/>
          <w:szCs w:val="21"/>
          <w:highlight w:val="none"/>
        </w:rPr>
      </w:pPr>
      <w:r>
        <w:rPr>
          <w:color w:val="auto"/>
          <w:sz w:val="21"/>
          <w:szCs w:val="21"/>
          <w:highlight w:val="none"/>
        </w:rPr>
        <w:t>电话：</w:t>
      </w:r>
    </w:p>
    <w:p>
      <w:pPr>
        <w:pStyle w:val="8"/>
        <w:spacing w:before="7"/>
        <w:rPr>
          <w:color w:val="auto"/>
          <w:sz w:val="21"/>
          <w:szCs w:val="21"/>
          <w:highlight w:val="none"/>
        </w:rPr>
      </w:pPr>
    </w:p>
    <w:p>
      <w:pPr>
        <w:pStyle w:val="8"/>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pPr>
        <w:rPr>
          <w:rFonts w:hint="eastAsia"/>
          <w:highlight w:val="none"/>
          <w:lang w:val="en-US" w:eastAsia="zh-CN"/>
        </w:rPr>
      </w:pPr>
    </w:p>
    <w:p>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pPr>
        <w:pStyle w:val="12"/>
        <w:keepNext/>
        <w:keepLines/>
        <w:spacing w:line="480" w:lineRule="auto"/>
        <w:jc w:val="center"/>
        <w:outlineLvl w:val="2"/>
        <w:rPr>
          <w:rStyle w:val="19"/>
          <w:rFonts w:hint="eastAsia"/>
          <w:color w:val="auto"/>
          <w:highlight w:val="none"/>
          <w:lang w:val="en-US" w:eastAsia="zh-CN"/>
        </w:rPr>
      </w:pPr>
      <w:r>
        <w:rPr>
          <w:rFonts w:hint="eastAsia" w:ascii="宋体" w:hAnsi="宋体"/>
          <w:color w:val="auto"/>
          <w:highlight w:val="none"/>
        </w:rPr>
        <w:br w:type="page"/>
      </w:r>
      <w:bookmarkStart w:id="28" w:name="_Toc16442"/>
      <w:r>
        <w:rPr>
          <w:rStyle w:val="19"/>
          <w:rFonts w:hint="eastAsia"/>
          <w:color w:val="auto"/>
          <w:highlight w:val="none"/>
          <w:lang w:val="en-US" w:eastAsia="zh-CN"/>
        </w:rPr>
        <w:t xml:space="preserve">第七章 </w:t>
      </w:r>
      <w:bookmarkEnd w:id="23"/>
      <w:bookmarkStart w:id="29" w:name="_Toc224103492"/>
      <w:r>
        <w:rPr>
          <w:rStyle w:val="19"/>
          <w:rFonts w:hint="eastAsia"/>
          <w:color w:val="auto"/>
          <w:highlight w:val="none"/>
          <w:lang w:val="en-US" w:eastAsia="zh-CN"/>
        </w:rPr>
        <w:t>竞选文件格式</w:t>
      </w:r>
      <w:bookmarkEnd w:id="24"/>
      <w:bookmarkEnd w:id="29"/>
    </w:p>
    <w:bookmarkEnd w:id="28"/>
    <w:p>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pPr>
        <w:autoSpaceDE w:val="0"/>
        <w:autoSpaceDN w:val="0"/>
        <w:adjustRightInd w:val="0"/>
        <w:spacing w:before="9" w:line="313" w:lineRule="auto"/>
        <w:ind w:right="177" w:firstLine="464" w:firstLineChars="221"/>
        <w:rPr>
          <w:rFonts w:hint="eastAsia"/>
          <w:color w:val="auto"/>
          <w:szCs w:val="21"/>
          <w:highlight w:val="none"/>
        </w:rPr>
      </w:pPr>
    </w:p>
    <w:p>
      <w:pPr>
        <w:autoSpaceDE w:val="0"/>
        <w:autoSpaceDN w:val="0"/>
        <w:adjustRightInd w:val="0"/>
        <w:spacing w:before="9" w:line="313" w:lineRule="auto"/>
        <w:ind w:right="177" w:firstLine="464" w:firstLineChars="221"/>
        <w:rPr>
          <w:rFonts w:hint="eastAsia"/>
          <w:color w:val="auto"/>
          <w:szCs w:val="21"/>
          <w:highlight w:val="none"/>
        </w:rPr>
      </w:pPr>
    </w:p>
    <w:p>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3"/>
        <w:jc w:val="center"/>
        <w:rPr>
          <w:rFonts w:hint="eastAsia" w:ascii="宋体" w:hAnsi="宋体" w:eastAsia="宋体" w:cs="宋体"/>
          <w:b w:val="0"/>
          <w:color w:val="auto"/>
          <w:kern w:val="2"/>
          <w:sz w:val="36"/>
          <w:szCs w:val="36"/>
          <w:highlight w:val="none"/>
          <w:lang w:eastAsia="zh-CN"/>
        </w:rPr>
      </w:pPr>
      <w:bookmarkStart w:id="30" w:name="_Toc534185830"/>
      <w:bookmarkStart w:id="31" w:name="_Toc509218853"/>
      <w:bookmarkStart w:id="32" w:name="_Toc27983320"/>
      <w:r>
        <w:rPr>
          <w:rFonts w:hint="eastAsia" w:ascii="宋体" w:hAnsi="宋体" w:eastAsia="宋体" w:cs="宋体"/>
          <w:b w:val="0"/>
          <w:color w:val="auto"/>
          <w:kern w:val="2"/>
          <w:sz w:val="36"/>
          <w:szCs w:val="36"/>
          <w:highlight w:val="none"/>
        </w:rPr>
        <w:t>一、竞选保函部分</w:t>
      </w:r>
      <w:bookmarkEnd w:id="30"/>
      <w:bookmarkEnd w:id="31"/>
      <w:bookmarkEnd w:id="32"/>
      <w:r>
        <w:rPr>
          <w:rFonts w:hint="eastAsia" w:ascii="宋体" w:hAnsi="宋体" w:eastAsia="宋体" w:cs="宋体"/>
          <w:b w:val="0"/>
          <w:color w:val="auto"/>
          <w:kern w:val="2"/>
          <w:sz w:val="36"/>
          <w:szCs w:val="36"/>
          <w:highlight w:val="none"/>
          <w:lang w:eastAsia="zh-CN"/>
        </w:rPr>
        <w:t>（</w:t>
      </w:r>
      <w:r>
        <w:rPr>
          <w:rFonts w:hint="eastAsia" w:ascii="宋体" w:hAnsi="宋体" w:eastAsia="宋体" w:cs="宋体"/>
          <w:b w:val="0"/>
          <w:color w:val="auto"/>
          <w:kern w:val="2"/>
          <w:sz w:val="36"/>
          <w:szCs w:val="36"/>
          <w:highlight w:val="none"/>
          <w:lang w:val="en-US" w:eastAsia="zh-CN"/>
        </w:rPr>
        <w:t>如设置</w:t>
      </w:r>
      <w:r>
        <w:rPr>
          <w:rFonts w:hint="eastAsia" w:ascii="宋体" w:hAnsi="宋体" w:eastAsia="宋体" w:cs="宋体"/>
          <w:b w:val="0"/>
          <w:color w:val="auto"/>
          <w:kern w:val="2"/>
          <w:sz w:val="36"/>
          <w:szCs w:val="36"/>
          <w:highlight w:val="none"/>
          <w:lang w:eastAsia="zh-CN"/>
        </w:rPr>
        <w:t>）</w:t>
      </w:r>
    </w:p>
    <w:p>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（适用于竞选保证金采用方式二）</w:t>
      </w:r>
    </w:p>
    <w:p>
      <w:pPr>
        <w:tabs>
          <w:tab w:val="left" w:pos="2580"/>
          <w:tab w:val="left" w:pos="5940"/>
        </w:tabs>
        <w:autoSpaceDE w:val="0"/>
        <w:autoSpaceDN w:val="0"/>
        <w:adjustRightInd w:val="0"/>
        <w:snapToGrid w:val="0"/>
        <w:spacing w:line="360" w:lineRule="auto"/>
        <w:jc w:val="center"/>
        <w:rPr>
          <w:rFonts w:hint="eastAsia" w:ascii="宋体" w:hAnsi="宋体"/>
          <w:color w:val="auto"/>
          <w:kern w:val="0"/>
          <w:sz w:val="36"/>
          <w:szCs w:val="36"/>
          <w:highlight w:val="none"/>
        </w:rPr>
      </w:pPr>
      <w:r>
        <w:rPr>
          <w:rFonts w:ascii="宋体" w:hAnsi="宋体"/>
          <w:color w:val="auto"/>
          <w:kern w:val="0"/>
          <w:sz w:val="28"/>
          <w:szCs w:val="28"/>
          <w:highlight w:val="none"/>
        </w:rPr>
        <w:br w:type="page"/>
      </w:r>
      <w:r>
        <w:rPr>
          <w:rFonts w:hint="eastAsia" w:ascii="宋体" w:hAnsi="宋体"/>
          <w:color w:val="auto"/>
          <w:kern w:val="0"/>
          <w:sz w:val="36"/>
          <w:szCs w:val="36"/>
          <w:highlight w:val="none"/>
        </w:rPr>
        <w:t>竞选保函</w:t>
      </w:r>
    </w:p>
    <w:p>
      <w:pPr>
        <w:wordWrap w:val="0"/>
        <w:autoSpaceDE w:val="0"/>
        <w:autoSpaceDN w:val="0"/>
        <w:adjustRightInd w:val="0"/>
        <w:spacing w:line="360" w:lineRule="auto"/>
        <w:ind w:right="1120"/>
        <w:jc w:val="right"/>
        <w:rPr>
          <w:rFonts w:ascii="宋体" w:hAnsi="宋体"/>
          <w:color w:val="auto"/>
          <w:kern w:val="0"/>
          <w:sz w:val="24"/>
          <w:highlight w:val="none"/>
        </w:rPr>
      </w:pPr>
      <w:r>
        <w:rPr>
          <w:rFonts w:ascii="宋体" w:hAnsi="宋体"/>
          <w:color w:val="auto"/>
          <w:kern w:val="0"/>
          <w:sz w:val="24"/>
          <w:highlight w:val="none"/>
        </w:rPr>
        <w:t>保函编号</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人名称）</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本保函作为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（以下简称“</w:t>
      </w:r>
      <w:r>
        <w:rPr>
          <w:rFonts w:hint="eastAsia" w:ascii="宋体" w:hAnsi="宋体"/>
          <w:color w:val="auto"/>
          <w:kern w:val="0"/>
          <w:szCs w:val="21"/>
          <w:highlight w:val="none"/>
        </w:rPr>
        <w:t>竞选</w:t>
      </w:r>
      <w:r>
        <w:rPr>
          <w:rFonts w:ascii="宋体" w:hAnsi="宋体"/>
          <w:color w:val="auto"/>
          <w:kern w:val="0"/>
          <w:szCs w:val="21"/>
          <w:highlight w:val="none"/>
        </w:rPr>
        <w:t>人”）在</w:t>
      </w:r>
      <w:r>
        <w:rPr>
          <w:rFonts w:ascii="宋体" w:hAnsi="宋体"/>
          <w:color w:val="auto"/>
          <w:kern w:val="0"/>
          <w:szCs w:val="21"/>
          <w:highlight w:val="none"/>
          <w:u w:val="single"/>
        </w:rPr>
        <w:t xml:space="preserve">         （项目名称）</w:t>
      </w:r>
      <w:r>
        <w:rPr>
          <w:rFonts w:ascii="宋体" w:hAnsi="宋体"/>
          <w:color w:val="auto"/>
          <w:kern w:val="0"/>
          <w:szCs w:val="21"/>
          <w:highlight w:val="none"/>
        </w:rPr>
        <w:t>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 xml:space="preserve">名称）       </w:t>
      </w:r>
      <w:r>
        <w:rPr>
          <w:rFonts w:ascii="宋体" w:hAnsi="宋体"/>
          <w:color w:val="auto"/>
          <w:kern w:val="0"/>
          <w:szCs w:val="21"/>
          <w:highlight w:val="none"/>
        </w:rPr>
        <w:t>（以下简称“受益人”）提供</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（项目名称） </w:t>
      </w:r>
      <w:r>
        <w:rPr>
          <w:rFonts w:hint="eastAsia" w:ascii="宋体" w:hAnsi="宋体"/>
          <w:color w:val="auto"/>
          <w:kern w:val="0"/>
          <w:szCs w:val="21"/>
          <w:highlight w:val="none"/>
        </w:rPr>
        <w:t>比选</w:t>
      </w:r>
      <w:r>
        <w:rPr>
          <w:rFonts w:ascii="宋体" w:hAnsi="宋体"/>
          <w:color w:val="auto"/>
          <w:kern w:val="0"/>
          <w:szCs w:val="21"/>
          <w:highlight w:val="none"/>
        </w:rPr>
        <w:t>文件所需的</w:t>
      </w:r>
      <w:r>
        <w:rPr>
          <w:rFonts w:hint="eastAsia" w:ascii="宋体" w:hAnsi="宋体"/>
          <w:color w:val="auto"/>
          <w:kern w:val="0"/>
          <w:szCs w:val="21"/>
          <w:highlight w:val="none"/>
        </w:rPr>
        <w:t>竞选</w:t>
      </w:r>
      <w:r>
        <w:rPr>
          <w:rFonts w:ascii="宋体" w:hAnsi="宋体"/>
          <w:color w:val="auto"/>
          <w:kern w:val="0"/>
          <w:szCs w:val="21"/>
          <w:highlight w:val="none"/>
        </w:rPr>
        <w:t>保函文件。</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本保函担保金额为人民币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文件要求的保证金金额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ascii="宋体" w:hAnsi="宋体"/>
          <w:color w:val="auto"/>
          <w:kern w:val="0"/>
          <w:szCs w:val="21"/>
          <w:highlight w:val="none"/>
        </w:rPr>
        <w:t>兹承诺，在收到受益人出具的说明下列任一事项的在担保金额内的书面索款通知及正本保函的</w:t>
      </w:r>
      <w:r>
        <w:rPr>
          <w:rFonts w:ascii="宋体" w:hAnsi="宋体"/>
          <w:color w:val="auto"/>
          <w:kern w:val="0"/>
          <w:szCs w:val="21"/>
          <w:highlight w:val="none"/>
          <w:u w:val="single"/>
        </w:rPr>
        <w:t xml:space="preserve">    </w:t>
      </w:r>
      <w:r>
        <w:rPr>
          <w:rFonts w:ascii="宋体" w:hAnsi="宋体"/>
          <w:color w:val="auto"/>
          <w:kern w:val="0"/>
          <w:szCs w:val="21"/>
          <w:highlight w:val="none"/>
        </w:rPr>
        <w:t>个工作日内无条件支付。（任何索赔要求务必于本保函到期日之前送达我行。）</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w:t>
      </w:r>
      <w:r>
        <w:rPr>
          <w:rFonts w:hint="eastAsia" w:ascii="宋体" w:hAnsi="宋体"/>
          <w:color w:val="auto"/>
          <w:kern w:val="0"/>
          <w:szCs w:val="21"/>
          <w:highlight w:val="none"/>
        </w:rPr>
        <w:t>竞选</w:t>
      </w:r>
      <w:r>
        <w:rPr>
          <w:rFonts w:ascii="宋体" w:hAnsi="宋体"/>
          <w:color w:val="auto"/>
          <w:kern w:val="0"/>
          <w:szCs w:val="21"/>
          <w:highlight w:val="none"/>
        </w:rPr>
        <w:t>人在规定的</w:t>
      </w:r>
      <w:r>
        <w:rPr>
          <w:rFonts w:hint="eastAsia" w:ascii="宋体" w:hAnsi="宋体"/>
          <w:color w:val="auto"/>
          <w:kern w:val="0"/>
          <w:szCs w:val="21"/>
          <w:highlight w:val="none"/>
        </w:rPr>
        <w:t>竞选</w:t>
      </w:r>
      <w:r>
        <w:rPr>
          <w:rFonts w:ascii="宋体" w:hAnsi="宋体"/>
          <w:color w:val="auto"/>
          <w:kern w:val="0"/>
          <w:szCs w:val="21"/>
          <w:highlight w:val="none"/>
        </w:rPr>
        <w:t>有效期内撤回其</w:t>
      </w:r>
      <w:r>
        <w:rPr>
          <w:rFonts w:hint="eastAsia" w:ascii="宋体" w:hAnsi="宋体"/>
          <w:color w:val="auto"/>
          <w:kern w:val="0"/>
          <w:szCs w:val="21"/>
          <w:highlight w:val="none"/>
        </w:rPr>
        <w:t>竞选</w:t>
      </w:r>
      <w:r>
        <w:rPr>
          <w:rFonts w:ascii="宋体" w:hAnsi="宋体"/>
          <w:color w:val="auto"/>
          <w:kern w:val="0"/>
          <w:szCs w:val="21"/>
          <w:highlight w:val="none"/>
        </w:rPr>
        <w:t>文件；</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w:t>
      </w:r>
      <w:r>
        <w:rPr>
          <w:rFonts w:hint="eastAsia" w:ascii="宋体" w:hAnsi="宋体"/>
          <w:color w:val="auto"/>
          <w:kern w:val="0"/>
          <w:szCs w:val="21"/>
          <w:highlight w:val="none"/>
        </w:rPr>
        <w:t>竞选</w:t>
      </w:r>
      <w:r>
        <w:rPr>
          <w:rFonts w:ascii="宋体" w:hAnsi="宋体"/>
          <w:color w:val="auto"/>
          <w:kern w:val="0"/>
          <w:szCs w:val="21"/>
          <w:highlight w:val="none"/>
        </w:rPr>
        <w:t>人被通知中</w:t>
      </w:r>
      <w:r>
        <w:rPr>
          <w:rFonts w:hint="eastAsia" w:ascii="宋体" w:hAnsi="宋体"/>
          <w:color w:val="auto"/>
          <w:kern w:val="0"/>
          <w:szCs w:val="21"/>
          <w:highlight w:val="none"/>
        </w:rPr>
        <w:t>选</w:t>
      </w:r>
      <w:r>
        <w:rPr>
          <w:rFonts w:ascii="宋体" w:hAnsi="宋体"/>
          <w:color w:val="auto"/>
          <w:kern w:val="0"/>
          <w:szCs w:val="21"/>
          <w:highlight w:val="none"/>
        </w:rPr>
        <w:t>后未能或拒绝按中</w:t>
      </w:r>
      <w:r>
        <w:rPr>
          <w:rFonts w:hint="eastAsia" w:ascii="宋体" w:hAnsi="宋体"/>
          <w:color w:val="auto"/>
          <w:kern w:val="0"/>
          <w:szCs w:val="21"/>
          <w:highlight w:val="none"/>
        </w:rPr>
        <w:t>选</w:t>
      </w:r>
      <w:r>
        <w:rPr>
          <w:rFonts w:ascii="宋体" w:hAnsi="宋体"/>
          <w:color w:val="auto"/>
          <w:kern w:val="0"/>
          <w:szCs w:val="21"/>
          <w:highlight w:val="none"/>
        </w:rPr>
        <w:t>通知书之规定签订合同；</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三、</w:t>
      </w:r>
      <w:r>
        <w:rPr>
          <w:rFonts w:hint="eastAsia" w:ascii="宋体" w:hAnsi="宋体"/>
          <w:color w:val="auto"/>
          <w:kern w:val="0"/>
          <w:szCs w:val="21"/>
          <w:highlight w:val="none"/>
        </w:rPr>
        <w:t>竞选</w:t>
      </w:r>
      <w:r>
        <w:rPr>
          <w:rFonts w:ascii="宋体" w:hAnsi="宋体"/>
          <w:color w:val="auto"/>
          <w:kern w:val="0"/>
          <w:szCs w:val="21"/>
          <w:highlight w:val="none"/>
        </w:rPr>
        <w:t>人未能或拒绝按照</w:t>
      </w:r>
      <w:r>
        <w:rPr>
          <w:rFonts w:hint="eastAsia" w:ascii="宋体" w:hAnsi="宋体"/>
          <w:color w:val="auto"/>
          <w:kern w:val="0"/>
          <w:szCs w:val="21"/>
          <w:highlight w:val="none"/>
        </w:rPr>
        <w:t>竞选</w:t>
      </w:r>
      <w:r>
        <w:rPr>
          <w:rFonts w:ascii="宋体" w:hAnsi="宋体"/>
          <w:color w:val="auto"/>
          <w:kern w:val="0"/>
          <w:szCs w:val="21"/>
          <w:highlight w:val="none"/>
        </w:rPr>
        <w:t>文件之规定提供履约</w:t>
      </w:r>
      <w:r>
        <w:rPr>
          <w:rFonts w:hint="eastAsia" w:ascii="宋体" w:hAnsi="宋体"/>
          <w:color w:val="auto"/>
          <w:kern w:val="0"/>
          <w:szCs w:val="21"/>
          <w:highlight w:val="none"/>
        </w:rPr>
        <w:t>担保</w:t>
      </w:r>
      <w:r>
        <w:rPr>
          <w:rFonts w:ascii="宋体" w:hAnsi="宋体"/>
          <w:color w:val="auto"/>
          <w:kern w:val="0"/>
          <w:szCs w:val="21"/>
          <w:highlight w:val="none"/>
        </w:rPr>
        <w:t>；</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本保函有效期</w:t>
      </w:r>
      <w:r>
        <w:rPr>
          <w:rFonts w:hint="eastAsia" w:ascii="宋体" w:hAnsi="宋体"/>
          <w:color w:val="auto"/>
          <w:kern w:val="0"/>
          <w:szCs w:val="21"/>
          <w:highlight w:val="none"/>
        </w:rPr>
        <w:t>与</w:t>
      </w:r>
      <w:r>
        <w:rPr>
          <w:rFonts w:ascii="宋体" w:hAnsi="宋体"/>
          <w:color w:val="auto"/>
          <w:kern w:val="0"/>
          <w:szCs w:val="21"/>
          <w:highlight w:val="none"/>
        </w:rPr>
        <w:t>本项目</w:t>
      </w:r>
      <w:r>
        <w:rPr>
          <w:rFonts w:hint="eastAsia" w:ascii="宋体" w:hAnsi="宋体"/>
          <w:color w:val="auto"/>
          <w:kern w:val="0"/>
          <w:szCs w:val="21"/>
          <w:highlight w:val="none"/>
        </w:rPr>
        <w:t>比选</w:t>
      </w:r>
      <w:r>
        <w:rPr>
          <w:rFonts w:ascii="宋体" w:hAnsi="宋体"/>
          <w:color w:val="auto"/>
          <w:kern w:val="0"/>
          <w:szCs w:val="21"/>
          <w:highlight w:val="none"/>
        </w:rPr>
        <w:t>文件规定的</w:t>
      </w:r>
      <w:r>
        <w:rPr>
          <w:rFonts w:hint="eastAsia" w:ascii="宋体" w:hAnsi="宋体"/>
          <w:color w:val="auto"/>
          <w:kern w:val="0"/>
          <w:szCs w:val="21"/>
          <w:highlight w:val="none"/>
        </w:rPr>
        <w:t>竞选</w:t>
      </w:r>
      <w:r>
        <w:rPr>
          <w:rFonts w:ascii="宋体" w:hAnsi="宋体"/>
          <w:color w:val="auto"/>
          <w:kern w:val="0"/>
          <w:szCs w:val="21"/>
          <w:highlight w:val="none"/>
        </w:rPr>
        <w:t>有效期</w:t>
      </w:r>
      <w:r>
        <w:rPr>
          <w:rFonts w:hint="eastAsia" w:ascii="宋体" w:hAnsi="宋体"/>
          <w:color w:val="auto"/>
          <w:kern w:val="0"/>
          <w:szCs w:val="21"/>
          <w:highlight w:val="none"/>
        </w:rPr>
        <w:t>一致。</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关于本保函的注销（含撤销）要求：</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一、本保函到期后，无论是否退回，本保函均告失效。</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二、在本保函有效期内，若</w:t>
      </w:r>
      <w:r>
        <w:rPr>
          <w:rFonts w:hint="eastAsia" w:ascii="宋体" w:hAnsi="宋体"/>
          <w:color w:val="auto"/>
          <w:kern w:val="0"/>
          <w:szCs w:val="21"/>
          <w:highlight w:val="none"/>
        </w:rPr>
        <w:t>竞选</w:t>
      </w:r>
      <w:r>
        <w:rPr>
          <w:rFonts w:ascii="宋体" w:hAnsi="宋体"/>
          <w:color w:val="auto"/>
          <w:kern w:val="0"/>
          <w:szCs w:val="21"/>
          <w:highlight w:val="none"/>
        </w:rPr>
        <w:t>人需注销（含撤销）本保函，则须提供受益人提供的准予注销（含撤销）的通知文件。</w:t>
      </w:r>
    </w:p>
    <w:p>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担</w:t>
      </w:r>
      <w:r>
        <w:rPr>
          <w:rFonts w:hint="eastAsia" w:ascii="宋体" w:hAnsi="宋体"/>
          <w:color w:val="auto"/>
          <w:kern w:val="0"/>
          <w:szCs w:val="21"/>
          <w:highlight w:val="none"/>
        </w:rPr>
        <w:t xml:space="preserve"> </w:t>
      </w:r>
      <w:r>
        <w:rPr>
          <w:rFonts w:ascii="宋体" w:hAnsi="宋体"/>
          <w:color w:val="auto"/>
          <w:kern w:val="0"/>
          <w:szCs w:val="21"/>
          <w:highlight w:val="none"/>
        </w:rPr>
        <w:t>保</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（盖单位公章）</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法定代表人或其委托代理人：</w:t>
      </w:r>
      <w:r>
        <w:rPr>
          <w:rFonts w:hint="eastAsia" w:ascii="宋体" w:hAnsi="宋体"/>
          <w:color w:val="auto"/>
          <w:kern w:val="0"/>
          <w:szCs w:val="21"/>
          <w:highlight w:val="none"/>
          <w:u w:val="single"/>
        </w:rPr>
        <w:t xml:space="preserve">                </w:t>
      </w:r>
      <w:r>
        <w:rPr>
          <w:rFonts w:ascii="宋体" w:hAnsi="宋体"/>
          <w:color w:val="auto"/>
          <w:kern w:val="0"/>
          <w:szCs w:val="21"/>
          <w:highlight w:val="none"/>
        </w:rPr>
        <w:t>（签字或盖章）</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ascii="宋体" w:hAnsi="宋体"/>
          <w:color w:val="auto"/>
          <w:kern w:val="0"/>
          <w:szCs w:val="21"/>
          <w:highlight w:val="none"/>
        </w:rPr>
        <w:t>（详细地址）</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电</w:t>
      </w:r>
      <w:r>
        <w:rPr>
          <w:rFonts w:hint="eastAsia" w:ascii="宋体" w:hAnsi="宋体"/>
          <w:color w:val="auto"/>
          <w:kern w:val="0"/>
          <w:szCs w:val="21"/>
          <w:highlight w:val="none"/>
        </w:rPr>
        <w:t xml:space="preserve">    </w:t>
      </w:r>
      <w:r>
        <w:rPr>
          <w:rFonts w:ascii="宋体" w:hAnsi="宋体"/>
          <w:color w:val="auto"/>
          <w:kern w:val="0"/>
          <w:szCs w:val="21"/>
          <w:highlight w:val="none"/>
        </w:rPr>
        <w:t>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联</w:t>
      </w:r>
      <w:r>
        <w:rPr>
          <w:rFonts w:hint="eastAsia" w:ascii="宋体" w:hAnsi="宋体"/>
          <w:color w:val="auto"/>
          <w:kern w:val="0"/>
          <w:szCs w:val="21"/>
          <w:highlight w:val="none"/>
        </w:rPr>
        <w:t xml:space="preserve"> </w:t>
      </w:r>
      <w:r>
        <w:rPr>
          <w:rFonts w:ascii="宋体" w:hAnsi="宋体"/>
          <w:color w:val="auto"/>
          <w:kern w:val="0"/>
          <w:szCs w:val="21"/>
          <w:highlight w:val="none"/>
        </w:rPr>
        <w:t>系</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pPr>
        <w:autoSpaceDE w:val="0"/>
        <w:autoSpaceDN w:val="0"/>
        <w:adjustRightInd w:val="0"/>
        <w:spacing w:line="424" w:lineRule="exact"/>
        <w:ind w:firstLine="3780" w:firstLineChars="1800"/>
        <w:jc w:val="left"/>
        <w:rPr>
          <w:rFonts w:hint="eastAsia" w:ascii="宋体" w:hAnsi="宋体"/>
          <w:color w:val="auto"/>
          <w:kern w:val="0"/>
          <w:szCs w:val="21"/>
          <w:highlight w:val="none"/>
        </w:rPr>
      </w:pPr>
      <w:r>
        <w:rPr>
          <w:rFonts w:ascii="宋体" w:hAnsi="宋体"/>
          <w:color w:val="auto"/>
          <w:kern w:val="0"/>
          <w:szCs w:val="21"/>
          <w:highlight w:val="none"/>
        </w:rPr>
        <w:t xml:space="preserve">传   </w:t>
      </w:r>
      <w:r>
        <w:rPr>
          <w:rFonts w:hint="eastAsia" w:ascii="宋体" w:hAnsi="宋体"/>
          <w:color w:val="auto"/>
          <w:kern w:val="0"/>
          <w:szCs w:val="21"/>
          <w:highlight w:val="none"/>
        </w:rPr>
        <w:t xml:space="preserve"> </w:t>
      </w:r>
      <w:r>
        <w:rPr>
          <w:rFonts w:ascii="宋体" w:hAnsi="宋体"/>
          <w:color w:val="auto"/>
          <w:kern w:val="0"/>
          <w:szCs w:val="21"/>
          <w:highlight w:val="none"/>
        </w:rPr>
        <w:t>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pPr>
        <w:autoSpaceDE w:val="0"/>
        <w:autoSpaceDN w:val="0"/>
        <w:adjustRightInd w:val="0"/>
        <w:spacing w:line="424" w:lineRule="exact"/>
        <w:jc w:val="left"/>
        <w:rPr>
          <w:rFonts w:hint="eastAsia" w:ascii="宋体" w:hAnsi="宋体"/>
          <w:color w:val="auto"/>
          <w:kern w:val="0"/>
          <w:szCs w:val="21"/>
          <w:highlight w:val="none"/>
        </w:rPr>
      </w:pPr>
      <w:r>
        <w:rPr>
          <w:rFonts w:hint="eastAsia" w:ascii="宋体" w:hAnsi="宋体"/>
          <w:b/>
          <w:bCs/>
          <w:color w:val="auto"/>
          <w:kern w:val="0"/>
          <w:szCs w:val="21"/>
          <w:highlight w:val="none"/>
        </w:rPr>
        <w:t>（注：本保函格式为参考格式，竞选人提供的竞选保函应满足竞选人须知第19款方式二规定）</w:t>
      </w:r>
    </w:p>
    <w:p>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rPr>
        <w:t>二、竞选函部分</w:t>
      </w: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pPr>
        <w:ind w:firstLine="260"/>
        <w:rPr>
          <w:color w:val="auto"/>
          <w:highlight w:val="none"/>
        </w:rPr>
      </w:pPr>
    </w:p>
    <w:p>
      <w:pPr>
        <w:spacing w:line="360" w:lineRule="auto"/>
        <w:jc w:val="center"/>
        <w:rPr>
          <w:rFonts w:hint="eastAsia" w:ascii="宋体" w:hAnsi="宋体"/>
          <w:color w:val="auto"/>
          <w:kern w:val="0"/>
          <w:sz w:val="32"/>
          <w:szCs w:val="32"/>
          <w:highlight w:val="none"/>
          <w:u w:val="single"/>
        </w:rPr>
      </w:pPr>
    </w:p>
    <w:p>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pPr>
        <w:rPr>
          <w:color w:val="auto"/>
          <w:highlight w:val="none"/>
        </w:rPr>
      </w:pPr>
    </w:p>
    <w:p>
      <w:pPr>
        <w:spacing w:line="360" w:lineRule="auto"/>
        <w:rPr>
          <w:rFonts w:hint="eastAsia" w:ascii="宋体" w:hAnsi="宋体"/>
          <w:bCs/>
          <w:color w:val="auto"/>
          <w:highlight w:val="none"/>
        </w:rPr>
      </w:pPr>
      <w:r>
        <w:rPr>
          <w:rFonts w:hint="eastAsia" w:ascii="宋体" w:hAnsi="宋体"/>
          <w:bCs/>
          <w:color w:val="auto"/>
          <w:highlight w:val="none"/>
        </w:rPr>
        <w:t>1.竞选函</w:t>
      </w:r>
    </w:p>
    <w:p>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pPr>
        <w:spacing w:line="360" w:lineRule="auto"/>
        <w:rPr>
          <w:rFonts w:hint="eastAsia" w:ascii="宋体" w:hAnsi="宋体"/>
          <w:bCs/>
          <w:color w:val="auto"/>
          <w:highlight w:val="none"/>
        </w:rPr>
      </w:pPr>
      <w:r>
        <w:rPr>
          <w:rFonts w:hint="eastAsia" w:ascii="宋体" w:hAnsi="宋体"/>
          <w:bCs/>
          <w:color w:val="auto"/>
          <w:highlight w:val="none"/>
        </w:rPr>
        <w:t>3.银行开户证明</w:t>
      </w:r>
    </w:p>
    <w:p>
      <w:pPr>
        <w:autoSpaceDE w:val="0"/>
        <w:autoSpaceDN w:val="0"/>
        <w:adjustRightInd w:val="0"/>
        <w:spacing w:line="360" w:lineRule="auto"/>
        <w:ind w:firstLine="480" w:firstLineChars="200"/>
        <w:jc w:val="left"/>
        <w:rPr>
          <w:rFonts w:ascii="宋体" w:hAnsi="宋体"/>
          <w:color w:val="auto"/>
          <w:kern w:val="0"/>
          <w:sz w:val="24"/>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snapToGrid w:val="0"/>
        <w:spacing w:line="360" w:lineRule="auto"/>
        <w:jc w:val="center"/>
        <w:outlineLvl w:val="2"/>
        <w:rPr>
          <w:rFonts w:hint="eastAsia" w:ascii="宋体" w:hAnsi="宋体"/>
          <w:b/>
          <w:color w:val="auto"/>
          <w:highlight w:val="none"/>
        </w:rPr>
      </w:pPr>
      <w:bookmarkStart w:id="33" w:name="_Toc287607867"/>
      <w:bookmarkStart w:id="34" w:name="_Toc224103495"/>
      <w:bookmarkStart w:id="35" w:name="_Toc534185831"/>
      <w:bookmarkStart w:id="36" w:name="_Toc277082643"/>
      <w:bookmarkStart w:id="37" w:name="_Toc509218854"/>
      <w:bookmarkStart w:id="38" w:name="_Toc287620814"/>
      <w:bookmarkStart w:id="39" w:name="_Toc430530530"/>
      <w:r>
        <w:rPr>
          <w:rFonts w:ascii="宋体" w:hAnsi="宋体"/>
          <w:color w:val="auto"/>
          <w:highlight w:val="none"/>
        </w:rPr>
        <w:br w:type="page"/>
      </w:r>
      <w:bookmarkEnd w:id="33"/>
      <w:bookmarkEnd w:id="34"/>
      <w:bookmarkEnd w:id="35"/>
      <w:bookmarkEnd w:id="36"/>
      <w:bookmarkEnd w:id="37"/>
      <w:bookmarkEnd w:id="38"/>
      <w:bookmarkEnd w:id="39"/>
      <w:bookmarkStart w:id="40" w:name="_Toc14234"/>
      <w:bookmarkStart w:id="41" w:name="_Toc29416"/>
      <w:r>
        <w:rPr>
          <w:rFonts w:hint="eastAsia" w:ascii="宋体" w:hAnsi="宋体"/>
          <w:b/>
          <w:bCs/>
          <w:snapToGrid w:val="0"/>
          <w:color w:val="auto"/>
          <w:kern w:val="0"/>
          <w:sz w:val="28"/>
          <w:szCs w:val="28"/>
          <w:highlight w:val="none"/>
        </w:rPr>
        <w:t>1.</w:t>
      </w:r>
      <w:bookmarkEnd w:id="40"/>
      <w:bookmarkEnd w:id="41"/>
      <w:r>
        <w:rPr>
          <w:rFonts w:hint="eastAsia" w:ascii="宋体" w:hAnsi="宋体"/>
          <w:b/>
          <w:bCs/>
          <w:snapToGrid w:val="0"/>
          <w:color w:val="auto"/>
          <w:kern w:val="0"/>
          <w:sz w:val="28"/>
          <w:szCs w:val="28"/>
          <w:highlight w:val="none"/>
        </w:rPr>
        <w:t>竞选函</w:t>
      </w:r>
    </w:p>
    <w:p>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42" w:name="_Toc15801"/>
      <w:bookmarkStart w:id="43" w:name="_Toc22723"/>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eastAsia="宋体" w:cs="宋体"/>
          <w:snapToGrid w:val="0"/>
          <w:color w:val="auto"/>
          <w:kern w:val="0"/>
          <w:szCs w:val="21"/>
          <w:highlight w:val="none"/>
          <w:lang w:val="en-US" w:eastAsia="zh-CN"/>
        </w:rPr>
        <w:t>安全文明施工费</w:t>
      </w:r>
      <w:r>
        <w:rPr>
          <w:rFonts w:hint="eastAsia" w:ascii="宋体" w:hAnsi="宋体" w:eastAsia="宋体" w:cs="宋体"/>
          <w:snapToGrid w:val="0"/>
          <w:color w:val="auto"/>
          <w:kern w:val="0"/>
          <w:szCs w:val="21"/>
          <w:highlight w:val="none"/>
        </w:rPr>
        <w:t>暂定金额为</w:t>
      </w:r>
      <w:r>
        <w:rPr>
          <w:rFonts w:ascii="宋体" w:hAnsi="宋体" w:eastAsia="宋体" w:cs="宋体"/>
          <w:spacing w:val="-86"/>
          <w:sz w:val="19"/>
          <w:szCs w:val="19"/>
          <w:highlight w:val="none"/>
        </w:rPr>
        <w:t xml:space="preserve"> </w:t>
      </w:r>
      <w:r>
        <w:rPr>
          <w:rFonts w:ascii="宋体" w:hAnsi="宋体" w:eastAsia="宋体" w:cs="宋体"/>
          <w:spacing w:val="9"/>
          <w:sz w:val="19"/>
          <w:szCs w:val="19"/>
          <w:highlight w:val="none"/>
          <w:u w:val="single" w:color="auto"/>
        </w:rPr>
        <w:t xml:space="preserve">  </w:t>
      </w:r>
      <w:r>
        <w:rPr>
          <w:highlight w:val="none"/>
          <w:u w:val="single"/>
        </w:rPr>
        <w:t xml:space="preserve"> </w:t>
      </w:r>
      <w:r>
        <w:rPr>
          <w:rFonts w:ascii="宋体" w:hAnsi="宋体" w:eastAsia="宋体" w:cs="宋体"/>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360" w:lineRule="auto"/>
        <w:ind w:firstLine="420" w:firstLineChars="200"/>
        <w:rPr>
          <w:rFonts w:ascii="宋体" w:hAnsi="宋体"/>
          <w:snapToGrid w:val="0"/>
          <w:kern w:val="0"/>
          <w:sz w:val="10"/>
          <w:szCs w:val="10"/>
          <w:highlight w:val="none"/>
        </w:rPr>
      </w:pPr>
      <w:r>
        <w:rPr>
          <w:rStyle w:val="20"/>
          <w:rFonts w:ascii="宋体" w:hAnsi="宋体"/>
          <w:kern w:val="0"/>
          <w:szCs w:val="21"/>
          <w:highlight w:val="none"/>
        </w:rPr>
        <w:t>（1）我方承诺在收到中选通知书后，在中选通知书规定的期限</w:t>
      </w:r>
      <w:r>
        <w:rPr>
          <w:rStyle w:val="20"/>
          <w:rFonts w:hint="eastAsia" w:ascii="宋体" w:hAnsi="宋体"/>
          <w:kern w:val="0"/>
          <w:szCs w:val="21"/>
          <w:highlight w:val="none"/>
        </w:rPr>
        <w:t>_</w:t>
      </w:r>
      <w:r>
        <w:rPr>
          <w:rStyle w:val="20"/>
          <w:rFonts w:ascii="宋体" w:hAnsi="宋体"/>
          <w:kern w:val="0"/>
          <w:szCs w:val="21"/>
          <w:highlight w:val="none"/>
        </w:rPr>
        <w:t>内与你方签订合同。</w:t>
      </w:r>
    </w:p>
    <w:p>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w:t>
      </w:r>
      <w:r>
        <w:rPr>
          <w:rFonts w:ascii="宋体" w:hAnsi="宋体"/>
          <w:snapToGrid w:val="0"/>
          <w:kern w:val="0"/>
          <w:szCs w:val="21"/>
          <w:highlight w:val="none"/>
        </w:rPr>
        <w:t>函递交的</w:t>
      </w:r>
      <w:r>
        <w:rPr>
          <w:rFonts w:hint="eastAsia" w:ascii="宋体" w:hAnsi="宋体"/>
          <w:snapToGrid w:val="0"/>
          <w:kern w:val="0"/>
          <w:szCs w:val="21"/>
          <w:highlight w:val="none"/>
        </w:rPr>
        <w:t>竞选</w:t>
      </w:r>
      <w:r>
        <w:rPr>
          <w:rFonts w:ascii="宋体" w:hAnsi="宋体"/>
          <w:snapToGrid w:val="0"/>
          <w:kern w:val="0"/>
          <w:szCs w:val="21"/>
          <w:highlight w:val="none"/>
        </w:rPr>
        <w:t>函附录属于合同文件的组成部分。</w:t>
      </w:r>
    </w:p>
    <w:p>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（3）我方承诺按照比选文件规定向你方递交履约担保。</w:t>
      </w:r>
    </w:p>
    <w:p>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w:t>
      </w:r>
      <w:r>
        <w:rPr>
          <w:rFonts w:hint="eastAsia" w:ascii="宋体" w:hAnsi="宋体"/>
          <w:snapToGrid w:val="0"/>
          <w:kern w:val="0"/>
          <w:szCs w:val="21"/>
          <w:highlight w:val="none"/>
        </w:rPr>
        <w:t>服务</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8"/>
        <w:rPr>
          <w:color w:val="auto"/>
          <w:highlight w:val="none"/>
        </w:rPr>
      </w:pPr>
    </w:p>
    <w:p>
      <w:pPr>
        <w:pStyle w:val="9"/>
        <w:rPr>
          <w:color w:val="auto"/>
          <w:highlight w:val="none"/>
        </w:rPr>
      </w:pPr>
    </w:p>
    <w:p>
      <w:pPr>
        <w:rPr>
          <w:color w:val="auto"/>
          <w:highlight w:val="none"/>
        </w:rPr>
      </w:pPr>
    </w:p>
    <w:p>
      <w:pPr>
        <w:pStyle w:val="8"/>
        <w:rPr>
          <w:color w:val="auto"/>
          <w:highlight w:val="none"/>
        </w:rPr>
      </w:pPr>
    </w:p>
    <w:p>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8"/>
        <w:rPr>
          <w:color w:val="auto"/>
          <w:highlight w:val="none"/>
        </w:rPr>
      </w:pPr>
    </w:p>
    <w:p>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42"/>
      <w:bookmarkEnd w:id="43"/>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5243" w:type="dxa"/>
        <w:jc w:val="center"/>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67" w:hRule="atLeast"/>
          <w:jc w:val="center"/>
        </w:trPr>
        <w:tc>
          <w:tcPr>
            <w:tcW w:w="5243"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pPr>
              <w:spacing w:line="360" w:lineRule="auto"/>
              <w:jc w:val="center"/>
              <w:rPr>
                <w:rFonts w:hint="eastAsia" w:ascii="宋体" w:hAnsi="宋体" w:cs="宋体"/>
                <w:b/>
                <w:color w:val="auto"/>
                <w:szCs w:val="21"/>
                <w:highlight w:val="none"/>
              </w:rPr>
            </w:pPr>
          </w:p>
        </w:tc>
      </w:tr>
    </w:tbl>
    <w:p>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67" w:hRule="atLeast"/>
        </w:trPr>
        <w:tc>
          <w:tcPr>
            <w:tcW w:w="3815"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pPr>
              <w:spacing w:line="360" w:lineRule="auto"/>
              <w:jc w:val="center"/>
              <w:rPr>
                <w:rFonts w:hint="eastAsia" w:ascii="宋体" w:hAnsi="宋体" w:cs="宋体"/>
                <w:b/>
                <w:color w:val="auto"/>
                <w:szCs w:val="21"/>
                <w:highlight w:val="none"/>
              </w:rPr>
            </w:pPr>
          </w:p>
        </w:tc>
      </w:tr>
    </w:tbl>
    <w:p>
      <w:pPr>
        <w:rPr>
          <w:vanish/>
          <w:color w:val="auto"/>
          <w:highlight w:val="none"/>
        </w:rPr>
      </w:pPr>
    </w:p>
    <w:tbl>
      <w:tblPr>
        <w:tblStyle w:val="14"/>
        <w:tblpPr w:leftFromText="180" w:rightFromText="180" w:vertAnchor="text" w:horzAnchor="page" w:tblpX="6047" w:tblpY="114"/>
        <w:tblW w:w="398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27" w:hRule="atLeast"/>
        </w:trPr>
        <w:tc>
          <w:tcPr>
            <w:tcW w:w="3980"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pPr>
              <w:spacing w:line="360" w:lineRule="auto"/>
              <w:jc w:val="center"/>
              <w:rPr>
                <w:rFonts w:hint="eastAsia" w:ascii="宋体" w:hAnsi="宋体" w:cs="宋体"/>
                <w:b/>
                <w:color w:val="auto"/>
                <w:szCs w:val="21"/>
                <w:highlight w:val="none"/>
              </w:rPr>
            </w:pPr>
          </w:p>
        </w:tc>
      </w:tr>
    </w:tbl>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pPr>
        <w:rPr>
          <w:rFonts w:hint="eastAsia"/>
          <w:color w:val="auto"/>
          <w:sz w:val="36"/>
          <w:szCs w:val="44"/>
          <w:highlight w:val="none"/>
        </w:rPr>
      </w:pPr>
      <w:bookmarkStart w:id="44" w:name="_Toc277082656"/>
      <w:bookmarkStart w:id="45" w:name="_Toc14443"/>
      <w:bookmarkStart w:id="46" w:name="_Toc16263"/>
      <w:bookmarkStart w:id="47" w:name="_Toc224103510"/>
      <w:bookmarkStart w:id="48" w:name="_Toc42269745"/>
      <w:bookmarkStart w:id="49" w:name="_Toc287620829"/>
      <w:bookmarkStart w:id="50" w:name="_Toc430530545"/>
      <w:bookmarkStart w:id="51" w:name="_Toc287607882"/>
      <w:bookmarkStart w:id="52" w:name="_Toc32678"/>
    </w:p>
    <w:p>
      <w:pPr>
        <w:jc w:val="center"/>
        <w:outlineLvl w:val="1"/>
        <w:rPr>
          <w:rFonts w:hint="eastAsia"/>
          <w:color w:val="auto"/>
          <w:sz w:val="36"/>
          <w:szCs w:val="44"/>
          <w:highlight w:val="none"/>
        </w:rPr>
      </w:pPr>
    </w:p>
    <w:p>
      <w:pPr>
        <w:jc w:val="center"/>
        <w:outlineLvl w:val="1"/>
        <w:rPr>
          <w:rFonts w:hint="eastAsia"/>
          <w:color w:val="auto"/>
          <w:sz w:val="36"/>
          <w:szCs w:val="44"/>
          <w:highlight w:val="none"/>
        </w:rPr>
      </w:pPr>
    </w:p>
    <w:p>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三</w:t>
      </w:r>
      <w:r>
        <w:rPr>
          <w:rFonts w:hint="eastAsia"/>
          <w:color w:val="auto"/>
          <w:sz w:val="36"/>
          <w:szCs w:val="44"/>
          <w:highlight w:val="none"/>
        </w:rPr>
        <w:t>、资格审查部分</w:t>
      </w:r>
      <w:r>
        <w:rPr>
          <w:rFonts w:hint="eastAsia"/>
          <w:color w:val="auto"/>
          <w:highlight w:val="none"/>
        </w:rPr>
        <w:br w:type="page"/>
      </w:r>
    </w:p>
    <w:p>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4"/>
      <w:bookmarkEnd w:id="45"/>
      <w:bookmarkEnd w:id="46"/>
      <w:bookmarkEnd w:id="47"/>
      <w:bookmarkEnd w:id="48"/>
      <w:bookmarkEnd w:id="49"/>
      <w:bookmarkEnd w:id="50"/>
      <w:bookmarkEnd w:id="51"/>
      <w:bookmarkEnd w:id="52"/>
    </w:p>
    <w:p>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pPr>
        <w:spacing w:after="260"/>
        <w:jc w:val="center"/>
        <w:outlineLvl w:val="2"/>
        <w:rPr>
          <w:rFonts w:ascii="宋体" w:hAnsi="宋体"/>
          <w:snapToGrid w:val="0"/>
          <w:color w:val="auto"/>
          <w:kern w:val="0"/>
          <w:szCs w:val="21"/>
          <w:highlight w:val="none"/>
        </w:rPr>
      </w:pPr>
      <w:bookmarkStart w:id="53" w:name="_Toc12182"/>
      <w:bookmarkStart w:id="54" w:name="_Toc42269747"/>
      <w:bookmarkStart w:id="55" w:name="_Toc18837"/>
      <w:bookmarkStart w:id="56" w:name="_Toc23302"/>
      <w:bookmarkStart w:id="57" w:name="_Toc287607887"/>
      <w:bookmarkStart w:id="58"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5243" w:type="dxa"/>
        <w:jc w:val="center"/>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67" w:hRule="atLeast"/>
          <w:jc w:val="center"/>
        </w:trPr>
        <w:tc>
          <w:tcPr>
            <w:tcW w:w="5243"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pPr>
              <w:spacing w:line="360" w:lineRule="auto"/>
              <w:jc w:val="center"/>
              <w:rPr>
                <w:rFonts w:hint="eastAsia" w:ascii="宋体" w:hAnsi="宋体" w:cs="宋体"/>
                <w:b/>
                <w:color w:val="auto"/>
                <w:szCs w:val="21"/>
                <w:highlight w:val="none"/>
              </w:rPr>
            </w:pPr>
          </w:p>
        </w:tc>
      </w:tr>
    </w:tbl>
    <w:p>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67" w:hRule="atLeast"/>
        </w:trPr>
        <w:tc>
          <w:tcPr>
            <w:tcW w:w="3815"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pPr>
              <w:spacing w:line="360" w:lineRule="auto"/>
              <w:jc w:val="center"/>
              <w:rPr>
                <w:rFonts w:hint="eastAsia" w:ascii="宋体" w:hAnsi="宋体" w:cs="宋体"/>
                <w:b/>
                <w:color w:val="auto"/>
                <w:szCs w:val="21"/>
                <w:highlight w:val="none"/>
              </w:rPr>
            </w:pPr>
          </w:p>
        </w:tc>
      </w:tr>
    </w:tbl>
    <w:p>
      <w:pPr>
        <w:rPr>
          <w:vanish/>
          <w:color w:val="auto"/>
          <w:highlight w:val="none"/>
        </w:rPr>
      </w:pPr>
    </w:p>
    <w:tbl>
      <w:tblPr>
        <w:tblStyle w:val="14"/>
        <w:tblpPr w:leftFromText="180" w:rightFromText="180" w:vertAnchor="text" w:horzAnchor="page" w:tblpX="6047" w:tblpY="114"/>
        <w:tblW w:w="398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827" w:hRule="atLeast"/>
        </w:trPr>
        <w:tc>
          <w:tcPr>
            <w:tcW w:w="3980"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pPr>
              <w:spacing w:line="360" w:lineRule="auto"/>
              <w:jc w:val="center"/>
              <w:rPr>
                <w:rFonts w:hint="eastAsia" w:ascii="宋体" w:hAnsi="宋体" w:cs="宋体"/>
                <w:b/>
                <w:color w:val="auto"/>
                <w:szCs w:val="21"/>
                <w:highlight w:val="none"/>
              </w:rPr>
            </w:pPr>
          </w:p>
        </w:tc>
      </w:tr>
    </w:tbl>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3"/>
      <w:bookmarkEnd w:id="54"/>
      <w:bookmarkEnd w:id="55"/>
      <w:bookmarkEnd w:id="56"/>
    </w:p>
    <w:tbl>
      <w:tblPr>
        <w:tblStyle w:val="14"/>
        <w:tblW w:w="9469"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51" w:hRule="exact"/>
        </w:trPr>
        <w:tc>
          <w:tcPr>
            <w:tcW w:w="1862" w:type="dxa"/>
            <w:vMerge w:val="restart"/>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21" w:hRule="exact"/>
        </w:trPr>
        <w:tc>
          <w:tcPr>
            <w:tcW w:w="1862" w:type="dxa"/>
            <w:vMerge w:val="continue"/>
            <w:noWrap w:val="0"/>
            <w:vAlign w:val="center"/>
          </w:tcPr>
          <w:p>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7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8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6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7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7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716"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pPr>
              <w:autoSpaceDE w:val="0"/>
              <w:autoSpaceDN w:val="0"/>
              <w:adjustRightInd w:val="0"/>
              <w:snapToGrid w:val="0"/>
              <w:jc w:val="center"/>
              <w:rPr>
                <w:rFonts w:ascii="宋体" w:hAnsi="宋体"/>
                <w:color w:val="auto"/>
                <w:kern w:val="0"/>
                <w:szCs w:val="21"/>
                <w:highlight w:val="none"/>
              </w:rPr>
            </w:pPr>
          </w:p>
        </w:tc>
      </w:tr>
    </w:tbl>
    <w:p>
      <w:pPr>
        <w:pStyle w:val="4"/>
        <w:spacing w:before="0"/>
        <w:jc w:val="center"/>
        <w:rPr>
          <w:rFonts w:ascii="宋体" w:hAnsi="宋体"/>
          <w:b w:val="0"/>
          <w:color w:val="auto"/>
          <w:highlight w:val="none"/>
        </w:rPr>
      </w:pPr>
      <w:r>
        <w:rPr>
          <w:rFonts w:ascii="宋体" w:hAnsi="宋体"/>
          <w:color w:val="auto"/>
          <w:szCs w:val="21"/>
          <w:highlight w:val="none"/>
        </w:rPr>
        <w:br w:type="page"/>
      </w:r>
      <w:bookmarkStart w:id="59" w:name="_Toc42269748"/>
      <w:bookmarkStart w:id="60" w:name="_Toc509218863"/>
      <w:bookmarkStart w:id="61" w:name="_Toc6724"/>
      <w:bookmarkStart w:id="62" w:name="_Toc534185840"/>
      <w:bookmarkStart w:id="63" w:name="_Toc9965"/>
      <w:bookmarkStart w:id="64" w:name="_Toc16068"/>
      <w:r>
        <w:rPr>
          <w:rFonts w:hint="eastAsia" w:ascii="宋体" w:hAnsi="宋体" w:eastAsia="宋体"/>
          <w:bCs/>
          <w:color w:val="auto"/>
          <w:kern w:val="2"/>
          <w:sz w:val="32"/>
          <w:szCs w:val="32"/>
          <w:highlight w:val="none"/>
        </w:rPr>
        <w:t>3.项目管理机构</w:t>
      </w:r>
      <w:bookmarkEnd w:id="59"/>
      <w:bookmarkEnd w:id="60"/>
      <w:bookmarkEnd w:id="61"/>
      <w:bookmarkEnd w:id="62"/>
      <w:bookmarkEnd w:id="63"/>
      <w:bookmarkEnd w:id="64"/>
    </w:p>
    <w:tbl>
      <w:tblPr>
        <w:tblStyle w:val="14"/>
        <w:tblW w:w="95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vMerge w:val="restart"/>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vMerge w:val="continue"/>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center"/>
          </w:tcPr>
          <w:p>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140" w:hRule="exact"/>
          <w:jc w:val="center"/>
        </w:trPr>
        <w:tc>
          <w:tcPr>
            <w:tcW w:w="1198" w:type="dxa"/>
            <w:noWrap w:val="0"/>
            <w:vAlign w:val="center"/>
          </w:tcPr>
          <w:p>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center"/>
          </w:tcPr>
          <w:p>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center"/>
          </w:tcPr>
          <w:p>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2" w:hRule="exact"/>
          <w:jc w:val="center"/>
        </w:trPr>
        <w:tc>
          <w:tcPr>
            <w:tcW w:w="1198"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bookmarkStart w:id="65"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9058"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0" w:hRule="exact"/>
          <w:jc w:val="center"/>
        </w:trPr>
        <w:tc>
          <w:tcPr>
            <w:tcW w:w="1236" w:type="dxa"/>
            <w:noWrap w:val="0"/>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00" w:hRule="exact"/>
          <w:jc w:val="center"/>
        </w:trPr>
        <w:tc>
          <w:tcPr>
            <w:tcW w:w="1236" w:type="dxa"/>
            <w:noWrap w:val="0"/>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0" w:hRule="exact"/>
          <w:jc w:val="center"/>
        </w:trPr>
        <w:tc>
          <w:tcPr>
            <w:tcW w:w="1236" w:type="dxa"/>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40" w:hRule="exact"/>
          <w:jc w:val="center"/>
        </w:trPr>
        <w:tc>
          <w:tcPr>
            <w:tcW w:w="9058" w:type="dxa"/>
            <w:gridSpan w:val="9"/>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00" w:hRule="exact"/>
          <w:jc w:val="center"/>
        </w:trPr>
        <w:tc>
          <w:tcPr>
            <w:tcW w:w="1613" w:type="dxa"/>
            <w:gridSpan w:val="2"/>
            <w:noWrap w:val="0"/>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00"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00"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00"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00"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25"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25"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962" w:hRule="exact"/>
          <w:jc w:val="center"/>
        </w:trPr>
        <w:tc>
          <w:tcPr>
            <w:tcW w:w="1613"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pPr>
              <w:autoSpaceDE w:val="0"/>
              <w:autoSpaceDN w:val="0"/>
              <w:adjustRightInd w:val="0"/>
              <w:snapToGrid w:val="0"/>
              <w:jc w:val="center"/>
              <w:rPr>
                <w:rFonts w:ascii="宋体" w:hAnsi="宋体"/>
                <w:color w:val="auto"/>
                <w:kern w:val="0"/>
                <w:szCs w:val="21"/>
                <w:highlight w:val="none"/>
              </w:rPr>
            </w:pPr>
          </w:p>
        </w:tc>
      </w:tr>
    </w:tbl>
    <w:p>
      <w:pPr>
        <w:rPr>
          <w:rFonts w:hint="eastAsia"/>
          <w:color w:val="auto"/>
          <w:highlight w:val="none"/>
        </w:rPr>
      </w:pPr>
    </w:p>
    <w:p>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7"/>
      <w:bookmarkEnd w:id="58"/>
      <w:bookmarkStart w:id="66" w:name="_Toc486490338"/>
      <w:bookmarkStart w:id="67" w:name="_Toc42269749"/>
      <w:bookmarkStart w:id="68" w:name="_Toc3235"/>
      <w:bookmarkStart w:id="69" w:name="_Toc501386307"/>
      <w:bookmarkStart w:id="70" w:name="_Toc534185843"/>
      <w:bookmarkStart w:id="71" w:name="_Toc509218866"/>
      <w:bookmarkStart w:id="72" w:name="_Toc17377"/>
      <w:r>
        <w:rPr>
          <w:rFonts w:hint="eastAsia" w:ascii="宋体" w:hAnsi="宋体"/>
          <w:bCs/>
          <w:color w:val="auto"/>
          <w:sz w:val="32"/>
          <w:szCs w:val="36"/>
          <w:highlight w:val="none"/>
        </w:rPr>
        <w:t>4.比选截止日竞选人资格情况</w:t>
      </w:r>
    </w:p>
    <w:p>
      <w:pPr>
        <w:pStyle w:val="4"/>
        <w:spacing w:line="360" w:lineRule="auto"/>
        <w:jc w:val="center"/>
        <w:rPr>
          <w:rFonts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p>
      <w:pPr>
        <w:pStyle w:val="4"/>
        <w:spacing w:line="360" w:lineRule="auto"/>
        <w:jc w:val="center"/>
        <w:rPr>
          <w:rFonts w:hint="eastAsia" w:ascii="宋体" w:hAnsi="宋体"/>
          <w:color w:val="auto"/>
          <w:highlight w:val="none"/>
        </w:rPr>
      </w:pPr>
    </w:p>
    <w:bookmarkEnd w:id="65"/>
    <w:bookmarkEnd w:id="66"/>
    <w:bookmarkEnd w:id="67"/>
    <w:bookmarkEnd w:id="68"/>
    <w:bookmarkEnd w:id="69"/>
    <w:bookmarkEnd w:id="70"/>
    <w:bookmarkEnd w:id="71"/>
    <w:bookmarkEnd w:id="72"/>
    <w:p>
      <w:pPr>
        <w:rPr>
          <w:color w:val="auto"/>
          <w:highlight w:val="none"/>
        </w:rPr>
      </w:pPr>
    </w:p>
    <w:p>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pPr>
        <w:numPr>
          <w:ilvl w:val="0"/>
          <w:numId w:val="28"/>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pPr>
        <w:numPr>
          <w:ilvl w:val="0"/>
          <w:numId w:val="0"/>
        </w:numPr>
        <w:jc w:val="both"/>
        <w:rPr>
          <w:rFonts w:hint="eastAsia" w:ascii="宋体" w:hAnsi="宋体" w:eastAsia="仿宋_GB2312" w:cs="MingLiU"/>
          <w:b/>
          <w:bCs/>
          <w:color w:val="auto"/>
          <w:kern w:val="0"/>
          <w:sz w:val="32"/>
          <w:szCs w:val="36"/>
          <w:highlight w:val="none"/>
        </w:rPr>
      </w:pPr>
    </w:p>
    <w:p>
      <w:pPr>
        <w:rPr>
          <w:highlight w:val="none"/>
        </w:rPr>
      </w:pPr>
    </w:p>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altName w:val="Microsoft JhengHei"/>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102k2QAAAAoBAAAPAAAAAAAA&#10;AAEAIAAAACIAAABkcnMvZG93bnJldi54bWxQSwECFAAUAAAACACHTuJAfHH9fZ8BAAAkAwAADgAA&#10;AAAAAAABACAAAAAoAQAAZHJzL2Uyb0RvYy54bWxQSwUGAAAAAAYABgBZAQAAOQUAAAAA&#10;">
              <v:fill on="f" focussize="0,0"/>
              <v:stroke on="f"/>
              <v:imagedata o:title=""/>
              <o:lock v:ext="edit" aspectratio="f"/>
              <v:textbox inset="0mm,0mm,0mm,0mm">
                <w:txbxContent>
                  <w:p>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teXw42AAAAAoBAAAPAAAAAAAAAAEA&#10;IAAAACIAAABkcnMvZG93bnJldi54bWxQSwECFAAUAAAACACHTuJAOs370Z0BAAAkAwAADgAAAAAA&#10;AAABACAAAAAnAQAAZHJzL2Uyb0RvYy54bWxQSwUGAAAAAAYABgBZAQAANgUAAAAA&#10;">
              <v:fill on="f" focussize="0,0"/>
              <v:stroke on="f"/>
              <v:imagedata o:title=""/>
              <o:lock v:ext="edit" aspectratio="f"/>
              <v:textbox inset="0mm,0mm,0mm,0mm">
                <w:txbxContent>
                  <w:p>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0E640482"/>
    <w:multiLevelType w:val="multilevel"/>
    <w:tmpl w:val="0E640482"/>
    <w:lvl w:ilvl="0" w:tentative="0">
      <w:start w:val="1"/>
      <w:numFmt w:val="decimal"/>
      <w:lvlText w:val="（%1）"/>
      <w:lvlJc w:val="left"/>
      <w:pPr>
        <w:ind w:left="132" w:hanging="527"/>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210" w:hanging="527"/>
      </w:pPr>
      <w:rPr>
        <w:rFonts w:hint="default" w:ascii="宋体" w:hAnsi="宋体" w:eastAsia="宋体" w:cs="宋体"/>
        <w:spacing w:val="-29"/>
        <w:w w:val="99"/>
        <w:sz w:val="19"/>
        <w:szCs w:val="19"/>
        <w:lang w:val="zh-CN" w:eastAsia="zh-CN" w:bidi="zh-CN"/>
      </w:rPr>
    </w:lvl>
    <w:lvl w:ilvl="2" w:tentative="0">
      <w:start w:val="0"/>
      <w:numFmt w:val="bullet"/>
      <w:lvlText w:val="•"/>
      <w:lvlJc w:val="left"/>
      <w:pPr>
        <w:ind w:left="1380" w:hanging="527"/>
      </w:pPr>
      <w:rPr>
        <w:rFonts w:hint="default"/>
        <w:lang w:val="zh-CN" w:eastAsia="zh-CN" w:bidi="zh-CN"/>
      </w:rPr>
    </w:lvl>
    <w:lvl w:ilvl="3" w:tentative="0">
      <w:start w:val="0"/>
      <w:numFmt w:val="bullet"/>
      <w:lvlText w:val="•"/>
      <w:lvlJc w:val="left"/>
      <w:pPr>
        <w:ind w:left="2461" w:hanging="527"/>
      </w:pPr>
      <w:rPr>
        <w:rFonts w:hint="default"/>
        <w:lang w:val="zh-CN" w:eastAsia="zh-CN" w:bidi="zh-CN"/>
      </w:rPr>
    </w:lvl>
    <w:lvl w:ilvl="4" w:tentative="0">
      <w:start w:val="0"/>
      <w:numFmt w:val="bullet"/>
      <w:lvlText w:val="•"/>
      <w:lvlJc w:val="left"/>
      <w:pPr>
        <w:ind w:left="3542" w:hanging="527"/>
      </w:pPr>
      <w:rPr>
        <w:rFonts w:hint="default"/>
        <w:lang w:val="zh-CN" w:eastAsia="zh-CN" w:bidi="zh-CN"/>
      </w:rPr>
    </w:lvl>
    <w:lvl w:ilvl="5" w:tentative="0">
      <w:start w:val="0"/>
      <w:numFmt w:val="bullet"/>
      <w:lvlText w:val="•"/>
      <w:lvlJc w:val="left"/>
      <w:pPr>
        <w:ind w:left="4623" w:hanging="527"/>
      </w:pPr>
      <w:rPr>
        <w:rFonts w:hint="default"/>
        <w:lang w:val="zh-CN" w:eastAsia="zh-CN" w:bidi="zh-CN"/>
      </w:rPr>
    </w:lvl>
    <w:lvl w:ilvl="6" w:tentative="0">
      <w:start w:val="0"/>
      <w:numFmt w:val="bullet"/>
      <w:lvlText w:val="•"/>
      <w:lvlJc w:val="left"/>
      <w:pPr>
        <w:ind w:left="5703" w:hanging="527"/>
      </w:pPr>
      <w:rPr>
        <w:rFonts w:hint="default"/>
        <w:lang w:val="zh-CN" w:eastAsia="zh-CN" w:bidi="zh-CN"/>
      </w:rPr>
    </w:lvl>
    <w:lvl w:ilvl="7" w:tentative="0">
      <w:start w:val="0"/>
      <w:numFmt w:val="bullet"/>
      <w:lvlText w:val="•"/>
      <w:lvlJc w:val="left"/>
      <w:pPr>
        <w:ind w:left="6784" w:hanging="527"/>
      </w:pPr>
      <w:rPr>
        <w:rFonts w:hint="default"/>
        <w:lang w:val="zh-CN" w:eastAsia="zh-CN" w:bidi="zh-CN"/>
      </w:rPr>
    </w:lvl>
    <w:lvl w:ilvl="8" w:tentative="0">
      <w:start w:val="0"/>
      <w:numFmt w:val="bullet"/>
      <w:lvlText w:val="•"/>
      <w:lvlJc w:val="left"/>
      <w:pPr>
        <w:ind w:left="7865" w:hanging="527"/>
      </w:pPr>
      <w:rPr>
        <w:rFonts w:hint="default"/>
        <w:lang w:val="zh-CN" w:eastAsia="zh-CN" w:bidi="zh-CN"/>
      </w:rPr>
    </w:lvl>
  </w:abstractNum>
  <w:abstractNum w:abstractNumId="14">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5">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6">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7">
    <w:nsid w:val="322DA995"/>
    <w:multiLevelType w:val="singleLevel"/>
    <w:tmpl w:val="322DA995"/>
    <w:lvl w:ilvl="0" w:tentative="0">
      <w:start w:val="5"/>
      <w:numFmt w:val="chineseCounting"/>
      <w:suff w:val="nothing"/>
      <w:lvlText w:val="%1、"/>
      <w:lvlJc w:val="left"/>
      <w:rPr>
        <w:rFonts w:hint="eastAsia"/>
      </w:rPr>
    </w:lvl>
  </w:abstractNum>
  <w:abstractNum w:abstractNumId="18">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9">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20">
    <w:nsid w:val="5204C54D"/>
    <w:multiLevelType w:val="singleLevel"/>
    <w:tmpl w:val="5204C54D"/>
    <w:lvl w:ilvl="0" w:tentative="0">
      <w:start w:val="1"/>
      <w:numFmt w:val="decimal"/>
      <w:suff w:val="nothing"/>
      <w:lvlText w:val="%1、"/>
      <w:lvlJc w:val="left"/>
    </w:lvl>
  </w:abstractNum>
  <w:abstractNum w:abstractNumId="21">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2">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3">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4">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35B0DB"/>
    <w:multiLevelType w:val="singleLevel"/>
    <w:tmpl w:val="6E35B0DB"/>
    <w:lvl w:ilvl="0" w:tentative="0">
      <w:start w:val="1"/>
      <w:numFmt w:val="decimal"/>
      <w:suff w:val="nothing"/>
      <w:lvlText w:val="（%1）"/>
      <w:lvlJc w:val="left"/>
    </w:lvl>
  </w:abstractNum>
  <w:abstractNum w:abstractNumId="26">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7">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4"/>
  </w:num>
  <w:num w:numId="2">
    <w:abstractNumId w:val="20"/>
  </w:num>
  <w:num w:numId="3">
    <w:abstractNumId w:val="2"/>
  </w:num>
  <w:num w:numId="4">
    <w:abstractNumId w:val="25"/>
  </w:num>
  <w:num w:numId="5">
    <w:abstractNumId w:val="9"/>
  </w:num>
  <w:num w:numId="6">
    <w:abstractNumId w:val="23"/>
  </w:num>
  <w:num w:numId="7">
    <w:abstractNumId w:val="13"/>
  </w:num>
  <w:num w:numId="8">
    <w:abstractNumId w:val="5"/>
  </w:num>
  <w:num w:numId="9">
    <w:abstractNumId w:val="17"/>
  </w:num>
  <w:num w:numId="10">
    <w:abstractNumId w:val="18"/>
  </w:num>
  <w:num w:numId="11">
    <w:abstractNumId w:val="6"/>
  </w:num>
  <w:num w:numId="12">
    <w:abstractNumId w:val="27"/>
  </w:num>
  <w:num w:numId="13">
    <w:abstractNumId w:val="0"/>
  </w:num>
  <w:num w:numId="14">
    <w:abstractNumId w:val="15"/>
  </w:num>
  <w:num w:numId="15">
    <w:abstractNumId w:val="19"/>
  </w:num>
  <w:num w:numId="16">
    <w:abstractNumId w:val="12"/>
  </w:num>
  <w:num w:numId="17">
    <w:abstractNumId w:val="11"/>
  </w:num>
  <w:num w:numId="18">
    <w:abstractNumId w:val="16"/>
  </w:num>
  <w:num w:numId="19">
    <w:abstractNumId w:val="26"/>
  </w:num>
  <w:num w:numId="20">
    <w:abstractNumId w:val="8"/>
  </w:num>
  <w:num w:numId="21">
    <w:abstractNumId w:val="4"/>
  </w:num>
  <w:num w:numId="22">
    <w:abstractNumId w:val="7"/>
  </w:num>
  <w:num w:numId="23">
    <w:abstractNumId w:val="21"/>
  </w:num>
  <w:num w:numId="24">
    <w:abstractNumId w:val="1"/>
  </w:num>
  <w:num w:numId="25">
    <w:abstractNumId w:val="14"/>
  </w:num>
  <w:num w:numId="26">
    <w:abstractNumId w:val="3"/>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B7E60"/>
    <w:rsid w:val="01800C9D"/>
    <w:rsid w:val="04141A3F"/>
    <w:rsid w:val="04CE650E"/>
    <w:rsid w:val="04E9233C"/>
    <w:rsid w:val="05176135"/>
    <w:rsid w:val="05997E8B"/>
    <w:rsid w:val="07FC5158"/>
    <w:rsid w:val="09595CA6"/>
    <w:rsid w:val="09664528"/>
    <w:rsid w:val="09E7269C"/>
    <w:rsid w:val="0C363BBB"/>
    <w:rsid w:val="0E087853"/>
    <w:rsid w:val="0EA0672E"/>
    <w:rsid w:val="0FC34DB9"/>
    <w:rsid w:val="0FF4212F"/>
    <w:rsid w:val="10E358A3"/>
    <w:rsid w:val="117B09F6"/>
    <w:rsid w:val="11A34BB5"/>
    <w:rsid w:val="12DD7CF9"/>
    <w:rsid w:val="150177FB"/>
    <w:rsid w:val="16024611"/>
    <w:rsid w:val="17EE05AF"/>
    <w:rsid w:val="1C1918CE"/>
    <w:rsid w:val="1C545A69"/>
    <w:rsid w:val="1D4666F2"/>
    <w:rsid w:val="1DB86A1B"/>
    <w:rsid w:val="1FD51FBA"/>
    <w:rsid w:val="1FE3647B"/>
    <w:rsid w:val="20EF4AE4"/>
    <w:rsid w:val="22BA2606"/>
    <w:rsid w:val="230C4FE5"/>
    <w:rsid w:val="230E7CB2"/>
    <w:rsid w:val="25551CCF"/>
    <w:rsid w:val="255C595F"/>
    <w:rsid w:val="268B051B"/>
    <w:rsid w:val="288527C5"/>
    <w:rsid w:val="28C5755F"/>
    <w:rsid w:val="28C66939"/>
    <w:rsid w:val="2A951BB0"/>
    <w:rsid w:val="2D940396"/>
    <w:rsid w:val="2E70537D"/>
    <w:rsid w:val="3089622F"/>
    <w:rsid w:val="33050628"/>
    <w:rsid w:val="385242CE"/>
    <w:rsid w:val="396326E3"/>
    <w:rsid w:val="39A71E58"/>
    <w:rsid w:val="3A3E1E92"/>
    <w:rsid w:val="3FA05713"/>
    <w:rsid w:val="3FA45CA5"/>
    <w:rsid w:val="41CA4968"/>
    <w:rsid w:val="42866C31"/>
    <w:rsid w:val="42EB5C2E"/>
    <w:rsid w:val="4466056F"/>
    <w:rsid w:val="44E41C42"/>
    <w:rsid w:val="47C4311A"/>
    <w:rsid w:val="48275288"/>
    <w:rsid w:val="488F3E82"/>
    <w:rsid w:val="497B0C92"/>
    <w:rsid w:val="4A3621F5"/>
    <w:rsid w:val="4B5827D7"/>
    <w:rsid w:val="4FB25956"/>
    <w:rsid w:val="4FD131C1"/>
    <w:rsid w:val="50531EBA"/>
    <w:rsid w:val="50CD3EF7"/>
    <w:rsid w:val="51266011"/>
    <w:rsid w:val="55881DC4"/>
    <w:rsid w:val="55AC0F70"/>
    <w:rsid w:val="5AF9642A"/>
    <w:rsid w:val="5BA25496"/>
    <w:rsid w:val="5F1C521A"/>
    <w:rsid w:val="5FDB00E1"/>
    <w:rsid w:val="60856CFC"/>
    <w:rsid w:val="618E4F17"/>
    <w:rsid w:val="658B3D34"/>
    <w:rsid w:val="66D17A24"/>
    <w:rsid w:val="69A50C33"/>
    <w:rsid w:val="6CD10307"/>
    <w:rsid w:val="6F1F0A56"/>
    <w:rsid w:val="718B6FBF"/>
    <w:rsid w:val="723C2C0B"/>
    <w:rsid w:val="72CA5205"/>
    <w:rsid w:val="73081ADA"/>
    <w:rsid w:val="74B96C79"/>
    <w:rsid w:val="74FF3F7F"/>
    <w:rsid w:val="75FD09AB"/>
    <w:rsid w:val="7808242B"/>
    <w:rsid w:val="7940309D"/>
    <w:rsid w:val="7B3C3EB9"/>
    <w:rsid w:val="7B9D56C8"/>
    <w:rsid w:val="7BEF7A3C"/>
    <w:rsid w:val="7C22507F"/>
    <w:rsid w:val="7C4A3674"/>
    <w:rsid w:val="7C5B46DC"/>
    <w:rsid w:val="7CDB6F02"/>
    <w:rsid w:val="7D10695E"/>
    <w:rsid w:val="7F7334F9"/>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19"/>
    <w:qFormat/>
    <w:uiPriority w:val="0"/>
    <w:pPr>
      <w:spacing w:before="240" w:after="60"/>
      <w:jc w:val="center"/>
      <w:outlineLvl w:val="0"/>
    </w:pPr>
    <w:rPr>
      <w:rFonts w:ascii="等线 Light" w:hAnsi="等线 Light"/>
      <w:b/>
      <w:bCs/>
      <w:sz w:val="32"/>
      <w:szCs w:val="32"/>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9">
    <w:name w:val="标题 Char"/>
    <w:link w:val="13"/>
    <w:qFormat/>
    <w:uiPriority w:val="0"/>
    <w:rPr>
      <w:rFonts w:ascii="等线 Light" w:hAnsi="等线 Light"/>
      <w:b/>
      <w:bCs/>
      <w:sz w:val="32"/>
      <w:szCs w:val="32"/>
    </w:rPr>
  </w:style>
  <w:style w:type="character" w:customStyle="1" w:styleId="2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15820</Words>
  <Characters>16593</Characters>
  <Lines>1</Lines>
  <Paragraphs>1</Paragraphs>
  <TotalTime>27</TotalTime>
  <ScaleCrop>false</ScaleCrop>
  <LinksUpToDate>false</LinksUpToDate>
  <CharactersWithSpaces>17419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1</cp:lastModifiedBy>
  <cp:lastPrinted>2025-01-07T02:03:45Z</cp:lastPrinted>
  <dcterms:modified xsi:type="dcterms:W3CDTF">2025-01-07T02:06:40Z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BC36071918F4485587B441304E5ADEE2_12</vt:lpwstr>
  </property>
  <property fmtid="{D5CDD505-2E9C-101B-9397-08002B2CF9AE}" pid="4" name="KSOTemplateDocerSaveRecord">
    <vt:lpwstr>eyJoZGlkIjoiNTFmOWU4ZmQxMTc5Y2I2YmI5NGY2NWRmNGQwNmFiODkiLCJ1c2VySWQiOiIzMTM0ODA4MDQifQ==</vt:lpwstr>
  </property>
</Properties>
</file>