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94D34">
      <w:pPr>
        <w:autoSpaceDE w:val="0"/>
        <w:autoSpaceDN w:val="0"/>
        <w:adjustRightInd w:val="0"/>
        <w:snapToGrid w:val="0"/>
        <w:spacing w:line="360" w:lineRule="auto"/>
        <w:jc w:val="center"/>
        <w:rPr>
          <w:rFonts w:hint="eastAsia" w:cs="宋体"/>
          <w:b/>
          <w:bCs w:val="0"/>
          <w:color w:val="auto"/>
          <w:sz w:val="44"/>
          <w:szCs w:val="44"/>
          <w:highlight w:val="none"/>
          <w:lang w:val="en-US" w:eastAsia="zh-CN"/>
        </w:rPr>
      </w:pPr>
      <w:bookmarkStart w:id="0" w:name="_Hlk79935546"/>
      <w:bookmarkStart w:id="1" w:name="_Toc200359237"/>
      <w:bookmarkStart w:id="2" w:name="_Toc200359426"/>
      <w:bookmarkStart w:id="3" w:name="_Toc224103298"/>
      <w:bookmarkStart w:id="4" w:name="_Toc443576762"/>
      <w:r>
        <w:rPr>
          <w:rFonts w:hint="eastAsia" w:cs="宋体"/>
          <w:b/>
          <w:bCs w:val="0"/>
          <w:color w:val="auto"/>
          <w:sz w:val="44"/>
          <w:szCs w:val="44"/>
          <w:highlight w:val="none"/>
          <w:lang w:val="en-US" w:eastAsia="zh-CN"/>
        </w:rPr>
        <w:t xml:space="preserve"> 蚩尤九黎城东城门至九黎酒店供水管道改道项目</w:t>
      </w:r>
    </w:p>
    <w:p w14:paraId="4D9995AD">
      <w:pPr>
        <w:autoSpaceDE w:val="0"/>
        <w:autoSpaceDN w:val="0"/>
        <w:adjustRightInd w:val="0"/>
        <w:snapToGrid w:val="0"/>
        <w:spacing w:line="360" w:lineRule="auto"/>
        <w:jc w:val="center"/>
        <w:rPr>
          <w:rFonts w:hint="eastAsia" w:cs="宋体"/>
          <w:b/>
          <w:bCs w:val="0"/>
          <w:color w:val="auto"/>
          <w:sz w:val="44"/>
          <w:szCs w:val="44"/>
          <w:highlight w:val="none"/>
          <w:lang w:val="en-US" w:eastAsia="zh-CN"/>
        </w:rPr>
      </w:pPr>
      <w:r>
        <w:rPr>
          <w:rFonts w:hint="eastAsia" w:cs="宋体"/>
          <w:b/>
          <w:bCs w:val="0"/>
          <w:color w:val="auto"/>
          <w:sz w:val="44"/>
          <w:szCs w:val="44"/>
          <w:highlight w:val="none"/>
          <w:lang w:val="en-US" w:eastAsia="zh-CN"/>
        </w:rPr>
        <w:t>（劳务分包）</w:t>
      </w:r>
    </w:p>
    <w:p w14:paraId="05873E11">
      <w:pPr>
        <w:autoSpaceDE w:val="0"/>
        <w:autoSpaceDN w:val="0"/>
        <w:adjustRightInd w:val="0"/>
        <w:snapToGrid w:val="0"/>
        <w:spacing w:line="360" w:lineRule="auto"/>
        <w:jc w:val="center"/>
        <w:rPr>
          <w:rFonts w:hint="eastAsia" w:ascii="宋体" w:hAnsi="宋体" w:eastAsia="宋体" w:cs="宋体"/>
          <w:bCs/>
          <w:color w:val="auto"/>
          <w:sz w:val="44"/>
          <w:szCs w:val="44"/>
          <w:highlight w:val="none"/>
          <w:lang w:eastAsia="zh-CN"/>
        </w:rPr>
      </w:pPr>
      <w:r>
        <w:rPr>
          <w:rFonts w:hint="eastAsia" w:ascii="宋体" w:hAnsi="宋体" w:eastAsia="宋体" w:cs="宋体"/>
          <w:bCs/>
          <w:color w:val="auto"/>
          <w:sz w:val="44"/>
          <w:szCs w:val="44"/>
          <w:highlight w:val="none"/>
          <w:lang w:eastAsia="zh-CN"/>
        </w:rPr>
        <w:t>（</w:t>
      </w:r>
      <w:r>
        <w:rPr>
          <w:rFonts w:hint="eastAsia" w:ascii="宋体" w:hAnsi="宋体" w:eastAsia="宋体" w:cs="宋体"/>
          <w:b/>
          <w:bCs w:val="0"/>
          <w:color w:val="auto"/>
          <w:sz w:val="44"/>
          <w:szCs w:val="44"/>
          <w:highlight w:val="none"/>
          <w:lang w:val="en-US" w:eastAsia="zh-CN"/>
        </w:rPr>
        <w:t>经评审的最低投标价法</w:t>
      </w:r>
      <w:r>
        <w:rPr>
          <w:rFonts w:hint="eastAsia" w:ascii="宋体" w:hAnsi="宋体" w:eastAsia="宋体" w:cs="宋体"/>
          <w:bCs/>
          <w:color w:val="auto"/>
          <w:sz w:val="44"/>
          <w:szCs w:val="44"/>
          <w:highlight w:val="none"/>
          <w:lang w:eastAsia="zh-CN"/>
        </w:rPr>
        <w:t>）</w:t>
      </w:r>
    </w:p>
    <w:p w14:paraId="06DB0F38">
      <w:pPr>
        <w:autoSpaceDE w:val="0"/>
        <w:autoSpaceDN w:val="0"/>
        <w:adjustRightInd w:val="0"/>
        <w:snapToGrid w:val="0"/>
        <w:spacing w:line="360" w:lineRule="auto"/>
        <w:jc w:val="center"/>
        <w:rPr>
          <w:rFonts w:hint="eastAsia" w:ascii="宋体" w:hAnsi="宋体" w:eastAsia="宋体" w:cs="宋体"/>
          <w:bCs/>
          <w:color w:val="auto"/>
          <w:sz w:val="44"/>
          <w:szCs w:val="44"/>
          <w:highlight w:val="none"/>
          <w:lang w:eastAsia="zh-CN"/>
        </w:rPr>
      </w:pPr>
    </w:p>
    <w:p w14:paraId="3A7CF460">
      <w:pPr>
        <w:autoSpaceDE w:val="0"/>
        <w:autoSpaceDN w:val="0"/>
        <w:adjustRightInd w:val="0"/>
        <w:snapToGrid w:val="0"/>
        <w:spacing w:line="360" w:lineRule="auto"/>
        <w:jc w:val="center"/>
        <w:rPr>
          <w:rFonts w:hint="eastAsia" w:ascii="宋体" w:hAnsi="宋体" w:cs="MingLiU"/>
          <w:b/>
          <w:color w:val="auto"/>
          <w:kern w:val="0"/>
          <w:sz w:val="84"/>
          <w:szCs w:val="44"/>
          <w:highlight w:val="none"/>
        </w:rPr>
      </w:pPr>
      <w:r>
        <w:rPr>
          <w:rFonts w:hint="eastAsia" w:ascii="宋体" w:hAnsi="宋体" w:cs="MingLiU"/>
          <w:b/>
          <w:color w:val="auto"/>
          <w:kern w:val="0"/>
          <w:sz w:val="84"/>
          <w:szCs w:val="44"/>
          <w:highlight w:val="none"/>
        </w:rPr>
        <w:t>竞争性比选文件</w:t>
      </w:r>
    </w:p>
    <w:p w14:paraId="450A0082">
      <w:pPr>
        <w:autoSpaceDE w:val="0"/>
        <w:autoSpaceDN w:val="0"/>
        <w:adjustRightInd w:val="0"/>
        <w:snapToGrid w:val="0"/>
        <w:spacing w:line="360" w:lineRule="auto"/>
        <w:jc w:val="center"/>
        <w:rPr>
          <w:rFonts w:hint="eastAsia"/>
          <w:color w:val="auto"/>
          <w:highlight w:val="none"/>
        </w:rPr>
      </w:pPr>
    </w:p>
    <w:p w14:paraId="0FC2C706">
      <w:pPr>
        <w:pStyle w:val="2"/>
        <w:rPr>
          <w:color w:val="auto"/>
          <w:highlight w:val="none"/>
        </w:rPr>
      </w:pPr>
    </w:p>
    <w:p w14:paraId="78EA6AAA">
      <w:pPr>
        <w:autoSpaceDE w:val="0"/>
        <w:autoSpaceDN w:val="0"/>
        <w:adjustRightInd w:val="0"/>
        <w:snapToGrid w:val="0"/>
        <w:spacing w:line="360" w:lineRule="auto"/>
        <w:jc w:val="center"/>
        <w:rPr>
          <w:rFonts w:hint="eastAsia" w:ascii="宋体" w:hAnsi="宋体" w:cs="MingLiU"/>
          <w:color w:val="auto"/>
          <w:kern w:val="0"/>
          <w:sz w:val="20"/>
          <w:szCs w:val="20"/>
          <w:highlight w:val="none"/>
        </w:rPr>
      </w:pPr>
    </w:p>
    <w:p w14:paraId="5A5EAD58">
      <w:pPr>
        <w:autoSpaceDE w:val="0"/>
        <w:autoSpaceDN w:val="0"/>
        <w:adjustRightInd w:val="0"/>
        <w:snapToGrid w:val="0"/>
        <w:spacing w:line="360" w:lineRule="auto"/>
        <w:jc w:val="left"/>
        <w:rPr>
          <w:rFonts w:hint="default" w:ascii="宋体" w:hAnsi="宋体" w:eastAsia="宋体" w:cs="MingLiU"/>
          <w:color w:val="auto"/>
          <w:kern w:val="0"/>
          <w:sz w:val="20"/>
          <w:szCs w:val="20"/>
          <w:highlight w:val="none"/>
          <w:lang w:val="en-US" w:eastAsia="zh-CN"/>
        </w:rPr>
      </w:pPr>
      <w:r>
        <w:rPr>
          <w:rFonts w:hint="eastAsia" w:ascii="宋体" w:hAnsi="宋体" w:cs="MingLiU"/>
          <w:color w:val="auto"/>
          <w:kern w:val="0"/>
          <w:sz w:val="20"/>
          <w:szCs w:val="20"/>
          <w:highlight w:val="none"/>
          <w:lang w:val="en-US" w:eastAsia="zh-CN"/>
        </w:rPr>
        <w:t xml:space="preserve">         </w:t>
      </w:r>
    </w:p>
    <w:p w14:paraId="448F5BB8">
      <w:pPr>
        <w:autoSpaceDE w:val="0"/>
        <w:autoSpaceDN w:val="0"/>
        <w:adjustRightInd w:val="0"/>
        <w:snapToGrid w:val="0"/>
        <w:spacing w:line="360" w:lineRule="auto"/>
        <w:jc w:val="left"/>
        <w:rPr>
          <w:rFonts w:hint="eastAsia" w:ascii="宋体" w:hAnsi="宋体" w:cs="MingLiU"/>
          <w:color w:val="auto"/>
          <w:kern w:val="0"/>
          <w:sz w:val="20"/>
          <w:szCs w:val="20"/>
          <w:highlight w:val="none"/>
        </w:rPr>
      </w:pPr>
    </w:p>
    <w:p w14:paraId="06837027">
      <w:pPr>
        <w:autoSpaceDE w:val="0"/>
        <w:autoSpaceDN w:val="0"/>
        <w:adjustRightInd w:val="0"/>
        <w:snapToGrid w:val="0"/>
        <w:spacing w:line="360" w:lineRule="auto"/>
        <w:jc w:val="left"/>
        <w:rPr>
          <w:rFonts w:hint="eastAsia" w:ascii="宋体" w:hAnsi="宋体" w:cs="MingLiU"/>
          <w:color w:val="auto"/>
          <w:kern w:val="0"/>
          <w:sz w:val="20"/>
          <w:szCs w:val="20"/>
          <w:highlight w:val="none"/>
        </w:rPr>
      </w:pPr>
    </w:p>
    <w:p w14:paraId="5365FC42">
      <w:pPr>
        <w:autoSpaceDE w:val="0"/>
        <w:autoSpaceDN w:val="0"/>
        <w:adjustRightInd w:val="0"/>
        <w:snapToGrid w:val="0"/>
        <w:spacing w:line="360" w:lineRule="auto"/>
        <w:jc w:val="left"/>
        <w:rPr>
          <w:rFonts w:hint="eastAsia" w:ascii="宋体" w:hAnsi="宋体" w:cs="MingLiU"/>
          <w:color w:val="auto"/>
          <w:kern w:val="0"/>
          <w:sz w:val="20"/>
          <w:szCs w:val="20"/>
          <w:highlight w:val="none"/>
        </w:rPr>
      </w:pPr>
    </w:p>
    <w:p w14:paraId="611FF2BA">
      <w:pPr>
        <w:rPr>
          <w:rFonts w:hint="eastAsia" w:ascii="宋体" w:hAnsi="宋体" w:cs="MingLiU"/>
          <w:color w:val="auto"/>
          <w:kern w:val="0"/>
          <w:sz w:val="20"/>
          <w:szCs w:val="20"/>
          <w:highlight w:val="none"/>
        </w:rPr>
      </w:pPr>
    </w:p>
    <w:p w14:paraId="189F2E6A">
      <w:pPr>
        <w:pStyle w:val="6"/>
        <w:rPr>
          <w:rFonts w:hint="eastAsia" w:ascii="宋体" w:hAnsi="宋体"/>
          <w:color w:val="auto"/>
          <w:sz w:val="20"/>
          <w:szCs w:val="20"/>
          <w:highlight w:val="none"/>
        </w:rPr>
      </w:pPr>
    </w:p>
    <w:p w14:paraId="1F94B41C">
      <w:pPr>
        <w:rPr>
          <w:rFonts w:hint="eastAsia"/>
        </w:rPr>
      </w:pPr>
    </w:p>
    <w:p w14:paraId="40E35CFF">
      <w:pPr>
        <w:rPr>
          <w:rFonts w:hint="eastAsia"/>
        </w:rPr>
      </w:pPr>
    </w:p>
    <w:p w14:paraId="7A713AED">
      <w:pPr>
        <w:rPr>
          <w:rFonts w:hint="eastAsia"/>
          <w:color w:val="auto"/>
          <w:highlight w:val="none"/>
        </w:rPr>
      </w:pPr>
    </w:p>
    <w:p w14:paraId="6873C8AA">
      <w:pPr>
        <w:tabs>
          <w:tab w:val="left" w:pos="6219"/>
        </w:tabs>
        <w:autoSpaceDE w:val="0"/>
        <w:autoSpaceDN w:val="0"/>
        <w:adjustRightInd w:val="0"/>
        <w:snapToGrid w:val="0"/>
        <w:spacing w:line="360" w:lineRule="auto"/>
        <w:rPr>
          <w:rFonts w:hint="eastAsia" w:ascii="宋体" w:hAnsi="宋体" w:eastAsia="宋体" w:cs="宋体"/>
          <w:b/>
          <w:bCs/>
          <w:color w:val="auto"/>
          <w:kern w:val="0"/>
          <w:sz w:val="28"/>
          <w:szCs w:val="28"/>
          <w:highlight w:val="none"/>
          <w:u w:val="single"/>
        </w:rPr>
      </w:pPr>
      <w:r>
        <w:rPr>
          <w:rFonts w:hint="eastAsia" w:ascii="宋体" w:hAnsi="宋体"/>
          <w:b/>
          <w:color w:val="auto"/>
          <w:kern w:val="0"/>
          <w:sz w:val="24"/>
          <w:highlight w:val="none"/>
        </w:rPr>
        <w:t xml:space="preserve">           </w:t>
      </w:r>
      <w:r>
        <w:rPr>
          <w:rFonts w:hint="eastAsia" w:ascii="宋体" w:hAnsi="宋体"/>
          <w:b/>
          <w:color w:val="auto"/>
          <w:kern w:val="0"/>
          <w:sz w:val="28"/>
          <w:szCs w:val="28"/>
          <w:highlight w:val="none"/>
        </w:rPr>
        <w:t xml:space="preserve">  </w:t>
      </w:r>
      <w:r>
        <w:rPr>
          <w:rFonts w:hint="eastAsia" w:ascii="宋体" w:hAnsi="宋体" w:eastAsia="宋体" w:cs="宋体"/>
          <w:b/>
          <w:color w:val="auto"/>
          <w:kern w:val="0"/>
          <w:sz w:val="28"/>
          <w:szCs w:val="28"/>
          <w:highlight w:val="none"/>
        </w:rPr>
        <w:t>比选人：</w:t>
      </w:r>
      <w:r>
        <w:rPr>
          <w:rFonts w:hint="eastAsia" w:ascii="宋体" w:hAnsi="宋体" w:cs="宋体"/>
          <w:b/>
          <w:bCs/>
          <w:snapToGrid w:val="0"/>
          <w:color w:val="auto"/>
          <w:kern w:val="0"/>
          <w:sz w:val="28"/>
          <w:szCs w:val="28"/>
          <w:highlight w:val="none"/>
          <w:u w:val="single"/>
          <w:lang w:eastAsia="zh-CN"/>
        </w:rPr>
        <w:t>彭水九黎文化旅游投资有限公司</w:t>
      </w:r>
      <w:r>
        <w:rPr>
          <w:rFonts w:hint="eastAsia" w:ascii="宋体" w:hAnsi="宋体" w:eastAsia="宋体" w:cs="宋体"/>
          <w:b/>
          <w:bCs/>
          <w:color w:val="auto"/>
          <w:kern w:val="0"/>
          <w:sz w:val="28"/>
          <w:szCs w:val="28"/>
          <w:highlight w:val="none"/>
          <w:u w:val="single"/>
        </w:rPr>
        <w:t>（盖单位公章）</w:t>
      </w:r>
    </w:p>
    <w:p w14:paraId="1591E318">
      <w:pPr>
        <w:tabs>
          <w:tab w:val="left" w:pos="6252"/>
        </w:tabs>
        <w:autoSpaceDE w:val="0"/>
        <w:autoSpaceDN w:val="0"/>
        <w:adjustRightInd w:val="0"/>
        <w:snapToGrid w:val="0"/>
        <w:spacing w:line="360" w:lineRule="auto"/>
        <w:rPr>
          <w:rFonts w:hint="eastAsia" w:ascii="宋体" w:hAnsi="宋体" w:eastAsia="宋体" w:cs="宋体"/>
          <w:b/>
          <w:bCs/>
          <w:color w:val="auto"/>
          <w:spacing w:val="8"/>
          <w:kern w:val="0"/>
          <w:sz w:val="28"/>
          <w:szCs w:val="28"/>
          <w:highlight w:val="none"/>
        </w:rPr>
      </w:pPr>
    </w:p>
    <w:p w14:paraId="2EE69655">
      <w:pPr>
        <w:tabs>
          <w:tab w:val="left" w:pos="6252"/>
        </w:tabs>
        <w:autoSpaceDE w:val="0"/>
        <w:autoSpaceDN w:val="0"/>
        <w:adjustRightInd w:val="0"/>
        <w:snapToGrid w:val="0"/>
        <w:spacing w:line="360" w:lineRule="auto"/>
        <w:ind w:firstLine="1607" w:firstLineChars="541"/>
        <w:rPr>
          <w:rFonts w:hint="eastAsia" w:ascii="宋体"/>
          <w:b/>
          <w:color w:val="auto"/>
          <w:kern w:val="0"/>
          <w:sz w:val="28"/>
          <w:szCs w:val="28"/>
          <w:highlight w:val="none"/>
          <w:u w:val="single"/>
        </w:rPr>
      </w:pPr>
      <w:r>
        <w:rPr>
          <w:rFonts w:hint="eastAsia" w:ascii="宋体" w:hAnsi="宋体" w:eastAsia="宋体" w:cs="宋体"/>
          <w:b/>
          <w:bCs/>
          <w:color w:val="auto"/>
          <w:spacing w:val="8"/>
          <w:kern w:val="0"/>
          <w:sz w:val="28"/>
          <w:szCs w:val="28"/>
          <w:highlight w:val="none"/>
        </w:rPr>
        <w:t>比选代理机构：</w:t>
      </w:r>
      <w:r>
        <w:rPr>
          <w:rFonts w:hint="eastAsia" w:ascii="宋体" w:hAnsi="宋体" w:cs="宋体"/>
          <w:b/>
          <w:color w:val="auto"/>
          <w:kern w:val="0"/>
          <w:sz w:val="28"/>
          <w:szCs w:val="28"/>
          <w:highlight w:val="none"/>
          <w:u w:val="single"/>
          <w:lang w:val="en-US" w:eastAsia="zh-CN"/>
        </w:rPr>
        <w:t>重庆四建季峰工程咨询有限公司</w:t>
      </w:r>
      <w:r>
        <w:rPr>
          <w:rFonts w:hint="eastAsia" w:ascii="宋体" w:hAnsi="宋体" w:eastAsia="宋体" w:cs="宋体"/>
          <w:b/>
          <w:bCs/>
          <w:color w:val="auto"/>
          <w:kern w:val="0"/>
          <w:sz w:val="28"/>
          <w:szCs w:val="28"/>
          <w:highlight w:val="none"/>
          <w:u w:val="single"/>
        </w:rPr>
        <w:t>（盖</w:t>
      </w:r>
      <w:r>
        <w:rPr>
          <w:rFonts w:hint="eastAsia" w:ascii="宋体" w:hAnsi="宋体" w:eastAsia="宋体" w:cs="宋体"/>
          <w:b/>
          <w:color w:val="auto"/>
          <w:kern w:val="0"/>
          <w:sz w:val="28"/>
          <w:szCs w:val="28"/>
          <w:highlight w:val="none"/>
          <w:u w:val="single"/>
        </w:rPr>
        <w:t>单位公章</w:t>
      </w:r>
      <w:r>
        <w:rPr>
          <w:rFonts w:hint="eastAsia" w:ascii="宋体"/>
          <w:b/>
          <w:color w:val="auto"/>
          <w:kern w:val="0"/>
          <w:sz w:val="28"/>
          <w:szCs w:val="28"/>
          <w:highlight w:val="none"/>
          <w:u w:val="single"/>
        </w:rPr>
        <w:t>）</w:t>
      </w:r>
    </w:p>
    <w:p w14:paraId="37E56948">
      <w:pPr>
        <w:spacing w:line="360" w:lineRule="auto"/>
        <w:rPr>
          <w:rFonts w:hint="eastAsia" w:ascii="宋体" w:hAnsi="宋体" w:cs="MingLiU"/>
          <w:b/>
          <w:color w:val="auto"/>
          <w:spacing w:val="8"/>
          <w:kern w:val="0"/>
          <w:sz w:val="28"/>
          <w:szCs w:val="28"/>
          <w:highlight w:val="none"/>
        </w:rPr>
      </w:pPr>
    </w:p>
    <w:p w14:paraId="168A7A26">
      <w:pPr>
        <w:tabs>
          <w:tab w:val="left" w:pos="3200"/>
          <w:tab w:val="left" w:pos="4320"/>
          <w:tab w:val="left" w:pos="5420"/>
        </w:tabs>
        <w:autoSpaceDE w:val="0"/>
        <w:autoSpaceDN w:val="0"/>
        <w:adjustRightInd w:val="0"/>
        <w:snapToGrid w:val="0"/>
        <w:spacing w:line="360" w:lineRule="auto"/>
        <w:jc w:val="center"/>
        <w:rPr>
          <w:rFonts w:hint="eastAsia" w:ascii="宋体" w:hAnsi="宋体" w:cs="MingLiU"/>
          <w:b/>
          <w:color w:val="auto"/>
          <w:w w:val="99"/>
          <w:kern w:val="0"/>
          <w:sz w:val="28"/>
          <w:szCs w:val="28"/>
          <w:highlight w:val="none"/>
        </w:rPr>
      </w:pPr>
      <w:r>
        <w:rPr>
          <w:rFonts w:hint="eastAsia" w:ascii="宋体" w:hAnsi="宋体" w:cs="MingLiU"/>
          <w:b/>
          <w:color w:val="auto"/>
          <w:w w:val="99"/>
          <w:kern w:val="0"/>
          <w:sz w:val="28"/>
          <w:szCs w:val="28"/>
          <w:highlight w:val="none"/>
        </w:rPr>
        <w:t xml:space="preserve">  二○二</w:t>
      </w:r>
      <w:r>
        <w:rPr>
          <w:rFonts w:hint="eastAsia" w:ascii="宋体" w:hAnsi="宋体" w:cs="MingLiU"/>
          <w:b/>
          <w:color w:val="auto"/>
          <w:w w:val="99"/>
          <w:kern w:val="0"/>
          <w:sz w:val="28"/>
          <w:szCs w:val="28"/>
          <w:highlight w:val="none"/>
          <w:lang w:val="en-US" w:eastAsia="zh-CN"/>
        </w:rPr>
        <w:t>五</w:t>
      </w:r>
      <w:r>
        <w:rPr>
          <w:rFonts w:hint="eastAsia" w:ascii="宋体" w:hAnsi="宋体" w:cs="MingLiU"/>
          <w:b/>
          <w:color w:val="auto"/>
          <w:w w:val="99"/>
          <w:kern w:val="0"/>
          <w:sz w:val="28"/>
          <w:szCs w:val="28"/>
          <w:highlight w:val="none"/>
        </w:rPr>
        <w:t>年</w:t>
      </w:r>
      <w:r>
        <w:rPr>
          <w:rFonts w:hint="eastAsia" w:ascii="宋体" w:hAnsi="宋体" w:cs="MingLiU"/>
          <w:b/>
          <w:color w:val="auto"/>
          <w:w w:val="99"/>
          <w:kern w:val="0"/>
          <w:sz w:val="28"/>
          <w:szCs w:val="28"/>
          <w:highlight w:val="none"/>
          <w:lang w:val="en-US" w:eastAsia="zh-CN"/>
        </w:rPr>
        <w:t>九</w:t>
      </w:r>
      <w:r>
        <w:rPr>
          <w:rFonts w:hint="eastAsia" w:ascii="宋体" w:hAnsi="宋体" w:cs="MingLiU"/>
          <w:b/>
          <w:color w:val="auto"/>
          <w:w w:val="99"/>
          <w:kern w:val="0"/>
          <w:sz w:val="28"/>
          <w:szCs w:val="28"/>
          <w:highlight w:val="none"/>
        </w:rPr>
        <w:t>月</w:t>
      </w:r>
    </w:p>
    <w:bookmarkEnd w:id="0"/>
    <w:p w14:paraId="3BC526E5">
      <w:pPr>
        <w:jc w:val="center"/>
        <w:rPr>
          <w:rFonts w:hint="eastAsia"/>
          <w:color w:val="auto"/>
          <w:sz w:val="40"/>
          <w:szCs w:val="48"/>
          <w:highlight w:val="none"/>
        </w:rPr>
        <w:sectPr>
          <w:headerReference r:id="rId3" w:type="default"/>
          <w:footerReference r:id="rId4" w:type="default"/>
          <w:pgSz w:w="11905" w:h="16838"/>
          <w:pgMar w:top="1134" w:right="850" w:bottom="1134" w:left="1020" w:header="850" w:footer="992" w:gutter="0"/>
          <w:pgBorders>
            <w:top w:val="none" w:sz="0" w:space="0"/>
            <w:left w:val="none" w:sz="0" w:space="0"/>
            <w:bottom w:val="none" w:sz="0" w:space="0"/>
            <w:right w:val="none" w:sz="0" w:space="0"/>
          </w:pgBorders>
          <w:pgNumType w:start="1"/>
          <w:cols w:space="720" w:num="1"/>
          <w:rtlGutter w:val="0"/>
          <w:docGrid w:type="lines" w:linePitch="317" w:charSpace="0"/>
        </w:sectPr>
      </w:pPr>
    </w:p>
    <w:p w14:paraId="73C621B4">
      <w:pPr>
        <w:jc w:val="center"/>
        <w:rPr>
          <w:rFonts w:hint="eastAsia"/>
          <w:color w:val="auto"/>
          <w:highlight w:val="none"/>
        </w:rPr>
      </w:pPr>
      <w:r>
        <w:rPr>
          <w:rFonts w:hint="eastAsia"/>
          <w:color w:val="auto"/>
          <w:sz w:val="40"/>
          <w:szCs w:val="48"/>
          <w:highlight w:val="none"/>
        </w:rPr>
        <w:t>目  录</w:t>
      </w:r>
    </w:p>
    <w:p w14:paraId="3689B902">
      <w:pPr>
        <w:pStyle w:val="11"/>
        <w:tabs>
          <w:tab w:val="right" w:leader="dot" w:pos="9638"/>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_Toc2330 </w:instrText>
      </w:r>
      <w:r>
        <w:rPr>
          <w:color w:val="auto"/>
          <w:highlight w:val="none"/>
        </w:rPr>
        <w:fldChar w:fldCharType="separate"/>
      </w:r>
      <w:r>
        <w:rPr>
          <w:rFonts w:hint="eastAsia"/>
          <w:color w:val="auto"/>
          <w:szCs w:val="36"/>
          <w:highlight w:val="none"/>
          <w:lang w:val="en-US" w:eastAsia="zh-CN"/>
        </w:rPr>
        <w:t xml:space="preserve">第一章 </w:t>
      </w:r>
      <w:r>
        <w:rPr>
          <w:rFonts w:hint="eastAsia"/>
          <w:color w:val="auto"/>
          <w:szCs w:val="36"/>
          <w:highlight w:val="none"/>
        </w:rPr>
        <w:t>比选公告</w:t>
      </w:r>
      <w:r>
        <w:rPr>
          <w:color w:val="auto"/>
          <w:highlight w:val="none"/>
        </w:rPr>
        <w:tab/>
      </w:r>
      <w:r>
        <w:rPr>
          <w:color w:val="auto"/>
          <w:highlight w:val="none"/>
        </w:rPr>
        <w:fldChar w:fldCharType="begin"/>
      </w:r>
      <w:r>
        <w:rPr>
          <w:color w:val="auto"/>
          <w:highlight w:val="none"/>
        </w:rPr>
        <w:instrText xml:space="preserve"> PAGEREF _Toc2330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408D733F">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_Toc12709 </w:instrText>
      </w:r>
      <w:r>
        <w:rPr>
          <w:color w:val="auto"/>
          <w:highlight w:val="none"/>
        </w:rPr>
        <w:fldChar w:fldCharType="separate"/>
      </w:r>
      <w:r>
        <w:rPr>
          <w:rFonts w:hint="eastAsia"/>
          <w:color w:val="auto"/>
          <w:szCs w:val="36"/>
          <w:highlight w:val="none"/>
          <w:lang w:val="en-US" w:eastAsia="zh-CN"/>
        </w:rPr>
        <w:t xml:space="preserve">第二章 </w:t>
      </w:r>
      <w:r>
        <w:rPr>
          <w:rFonts w:hint="eastAsia"/>
          <w:color w:val="auto"/>
          <w:szCs w:val="36"/>
          <w:highlight w:val="none"/>
        </w:rPr>
        <w:t>竞选人须知</w:t>
      </w:r>
      <w:r>
        <w:rPr>
          <w:color w:val="auto"/>
          <w:highlight w:val="none"/>
        </w:rPr>
        <w:tab/>
      </w:r>
      <w:r>
        <w:rPr>
          <w:color w:val="auto"/>
          <w:highlight w:val="none"/>
        </w:rPr>
        <w:fldChar w:fldCharType="begin"/>
      </w:r>
      <w:r>
        <w:rPr>
          <w:color w:val="auto"/>
          <w:highlight w:val="none"/>
        </w:rPr>
        <w:instrText xml:space="preserve"> PAGEREF _Toc12709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47715A89">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_Toc32036 </w:instrText>
      </w:r>
      <w:r>
        <w:rPr>
          <w:color w:val="auto"/>
          <w:highlight w:val="none"/>
        </w:rPr>
        <w:fldChar w:fldCharType="separate"/>
      </w:r>
      <w:r>
        <w:rPr>
          <w:rFonts w:hint="eastAsia"/>
          <w:color w:val="auto"/>
          <w:szCs w:val="32"/>
          <w:highlight w:val="none"/>
          <w:lang w:val="en-US" w:eastAsia="zh-CN"/>
        </w:rPr>
        <w:t>第三章</w:t>
      </w:r>
      <w:r>
        <w:rPr>
          <w:rFonts w:hint="eastAsia"/>
          <w:color w:val="auto"/>
          <w:szCs w:val="32"/>
          <w:highlight w:val="none"/>
        </w:rPr>
        <w:t xml:space="preserve"> 评选办法</w:t>
      </w:r>
      <w:r>
        <w:rPr>
          <w:color w:val="auto"/>
          <w:highlight w:val="none"/>
        </w:rPr>
        <w:tab/>
      </w:r>
      <w:r>
        <w:rPr>
          <w:color w:val="auto"/>
          <w:highlight w:val="none"/>
        </w:rPr>
        <w:fldChar w:fldCharType="begin"/>
      </w:r>
      <w:r>
        <w:rPr>
          <w:color w:val="auto"/>
          <w:highlight w:val="none"/>
        </w:rPr>
        <w:instrText xml:space="preserve"> PAGEREF _Toc32036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6846520C">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_Toc19955 </w:instrText>
      </w:r>
      <w:r>
        <w:rPr>
          <w:color w:val="auto"/>
          <w:highlight w:val="none"/>
        </w:rPr>
        <w:fldChar w:fldCharType="separate"/>
      </w:r>
      <w:r>
        <w:rPr>
          <w:rFonts w:hint="eastAsia" w:ascii="Times New Roman" w:hAnsi="Times New Roman" w:cs="Times New Roman"/>
          <w:color w:val="auto"/>
          <w:szCs w:val="36"/>
          <w:highlight w:val="none"/>
          <w:lang w:val="en-US" w:eastAsia="zh-CN"/>
        </w:rPr>
        <w:t>第四章  合同条款及格式</w:t>
      </w:r>
      <w:r>
        <w:rPr>
          <w:color w:val="auto"/>
          <w:highlight w:val="none"/>
        </w:rPr>
        <w:tab/>
      </w:r>
      <w:r>
        <w:rPr>
          <w:color w:val="auto"/>
          <w:highlight w:val="none"/>
        </w:rPr>
        <w:fldChar w:fldCharType="begin"/>
      </w:r>
      <w:r>
        <w:rPr>
          <w:color w:val="auto"/>
          <w:highlight w:val="none"/>
        </w:rPr>
        <w:instrText xml:space="preserve"> PAGEREF _Toc19955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33A78452">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_Toc31120 </w:instrText>
      </w:r>
      <w:r>
        <w:rPr>
          <w:color w:val="auto"/>
          <w:highlight w:val="none"/>
        </w:rPr>
        <w:fldChar w:fldCharType="separate"/>
      </w:r>
      <w:r>
        <w:rPr>
          <w:rFonts w:hint="eastAsia" w:ascii="Times New Roman" w:hAnsi="Times New Roman" w:cs="Times New Roman"/>
          <w:color w:val="auto"/>
          <w:szCs w:val="36"/>
          <w:highlight w:val="none"/>
          <w:lang w:val="en-US" w:eastAsia="zh-CN"/>
        </w:rPr>
        <w:t>第五章  工程量清单</w:t>
      </w:r>
      <w:r>
        <w:rPr>
          <w:color w:val="auto"/>
          <w:highlight w:val="none"/>
        </w:rPr>
        <w:tab/>
      </w:r>
      <w:r>
        <w:rPr>
          <w:color w:val="auto"/>
          <w:highlight w:val="none"/>
        </w:rPr>
        <w:fldChar w:fldCharType="begin"/>
      </w:r>
      <w:r>
        <w:rPr>
          <w:color w:val="auto"/>
          <w:highlight w:val="none"/>
        </w:rPr>
        <w:instrText xml:space="preserve"> PAGEREF _Toc31120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1544A5C2">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_Toc13520 </w:instrText>
      </w:r>
      <w:r>
        <w:rPr>
          <w:color w:val="auto"/>
          <w:highlight w:val="none"/>
        </w:rPr>
        <w:fldChar w:fldCharType="separate"/>
      </w:r>
      <w:r>
        <w:rPr>
          <w:rFonts w:hint="eastAsia" w:ascii="Times New Roman" w:hAnsi="Times New Roman" w:cs="Times New Roman"/>
          <w:color w:val="auto"/>
          <w:szCs w:val="36"/>
          <w:highlight w:val="none"/>
          <w:lang w:val="en-US" w:eastAsia="zh-CN"/>
        </w:rPr>
        <w:t>第六章  图纸</w:t>
      </w:r>
      <w:r>
        <w:rPr>
          <w:color w:val="auto"/>
          <w:highlight w:val="none"/>
        </w:rPr>
        <w:tab/>
      </w:r>
      <w:r>
        <w:rPr>
          <w:color w:val="auto"/>
          <w:highlight w:val="none"/>
        </w:rPr>
        <w:fldChar w:fldCharType="begin"/>
      </w:r>
      <w:r>
        <w:rPr>
          <w:color w:val="auto"/>
          <w:highlight w:val="none"/>
        </w:rPr>
        <w:instrText xml:space="preserve"> PAGEREF _Toc13520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698488B1">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_Toc16442 </w:instrText>
      </w:r>
      <w:r>
        <w:rPr>
          <w:color w:val="auto"/>
          <w:highlight w:val="none"/>
        </w:rPr>
        <w:fldChar w:fldCharType="separate"/>
      </w:r>
      <w:r>
        <w:rPr>
          <w:rFonts w:hint="eastAsia"/>
          <w:color w:val="auto"/>
          <w:highlight w:val="none"/>
          <w:lang w:val="en-US" w:eastAsia="zh-CN"/>
        </w:rPr>
        <w:t>第七章 竞选文件格式</w:t>
      </w:r>
      <w:r>
        <w:rPr>
          <w:color w:val="auto"/>
          <w:highlight w:val="none"/>
        </w:rPr>
        <w:tab/>
      </w:r>
      <w:r>
        <w:rPr>
          <w:color w:val="auto"/>
          <w:highlight w:val="none"/>
        </w:rPr>
        <w:fldChar w:fldCharType="begin"/>
      </w:r>
      <w:r>
        <w:rPr>
          <w:color w:val="auto"/>
          <w:highlight w:val="none"/>
        </w:rPr>
        <w:instrText xml:space="preserve"> PAGEREF _Toc16442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3A84D571">
      <w:pPr>
        <w:pStyle w:val="2"/>
        <w:rPr>
          <w:color w:val="auto"/>
          <w:highlight w:val="none"/>
        </w:rPr>
      </w:pPr>
      <w:r>
        <w:rPr>
          <w:color w:val="auto"/>
          <w:highlight w:val="none"/>
        </w:rPr>
        <w:fldChar w:fldCharType="end"/>
      </w:r>
    </w:p>
    <w:p w14:paraId="36AFAB83">
      <w:pPr>
        <w:rPr>
          <w:color w:val="auto"/>
          <w:highlight w:val="none"/>
        </w:rPr>
      </w:pPr>
    </w:p>
    <w:p w14:paraId="7BA56DC8">
      <w:pPr>
        <w:pStyle w:val="2"/>
        <w:rPr>
          <w:color w:val="auto"/>
          <w:highlight w:val="none"/>
        </w:rPr>
      </w:pPr>
    </w:p>
    <w:p w14:paraId="0EB7B4F5">
      <w:pPr>
        <w:rPr>
          <w:color w:val="auto"/>
          <w:highlight w:val="none"/>
        </w:rPr>
      </w:pPr>
    </w:p>
    <w:p w14:paraId="2D482489">
      <w:pPr>
        <w:pStyle w:val="2"/>
        <w:tabs>
          <w:tab w:val="left" w:pos="7730"/>
        </w:tabs>
        <w:rPr>
          <w:rFonts w:hint="eastAsia"/>
          <w:color w:val="auto"/>
          <w:highlight w:val="none"/>
        </w:rPr>
      </w:pPr>
      <w:r>
        <w:rPr>
          <w:rFonts w:hint="eastAsia"/>
          <w:color w:val="auto"/>
          <w:highlight w:val="none"/>
        </w:rPr>
        <w:tab/>
      </w:r>
    </w:p>
    <w:p w14:paraId="75CAD245">
      <w:pPr>
        <w:rPr>
          <w:color w:val="auto"/>
          <w:highlight w:val="none"/>
        </w:rPr>
      </w:pPr>
    </w:p>
    <w:p w14:paraId="35B84DB2">
      <w:pPr>
        <w:pStyle w:val="2"/>
        <w:rPr>
          <w:color w:val="auto"/>
          <w:highlight w:val="none"/>
        </w:rPr>
      </w:pPr>
    </w:p>
    <w:p w14:paraId="36F65928">
      <w:pPr>
        <w:rPr>
          <w:color w:val="auto"/>
          <w:highlight w:val="none"/>
        </w:rPr>
      </w:pPr>
    </w:p>
    <w:p w14:paraId="70D0AC6B">
      <w:pPr>
        <w:pStyle w:val="2"/>
        <w:rPr>
          <w:color w:val="auto"/>
          <w:highlight w:val="none"/>
        </w:rPr>
      </w:pPr>
    </w:p>
    <w:p w14:paraId="0F02DB44">
      <w:pPr>
        <w:rPr>
          <w:color w:val="auto"/>
          <w:highlight w:val="none"/>
        </w:rPr>
      </w:pPr>
    </w:p>
    <w:p w14:paraId="27A1BDFF">
      <w:pPr>
        <w:pStyle w:val="2"/>
        <w:rPr>
          <w:color w:val="auto"/>
          <w:highlight w:val="none"/>
        </w:rPr>
      </w:pPr>
    </w:p>
    <w:p w14:paraId="23E48D23">
      <w:pPr>
        <w:rPr>
          <w:color w:val="auto"/>
          <w:highlight w:val="none"/>
        </w:rPr>
      </w:pPr>
    </w:p>
    <w:p w14:paraId="6D95561A">
      <w:pPr>
        <w:pStyle w:val="2"/>
        <w:rPr>
          <w:color w:val="auto"/>
          <w:highlight w:val="none"/>
        </w:rPr>
      </w:pPr>
    </w:p>
    <w:p w14:paraId="420DC7BD">
      <w:pPr>
        <w:rPr>
          <w:color w:val="auto"/>
          <w:highlight w:val="none"/>
        </w:rPr>
      </w:pPr>
    </w:p>
    <w:p w14:paraId="0BA4DAD8">
      <w:pPr>
        <w:pStyle w:val="2"/>
        <w:rPr>
          <w:color w:val="auto"/>
          <w:highlight w:val="none"/>
        </w:rPr>
      </w:pPr>
    </w:p>
    <w:p w14:paraId="43281C91">
      <w:pPr>
        <w:rPr>
          <w:color w:val="auto"/>
          <w:highlight w:val="none"/>
        </w:rPr>
      </w:pPr>
    </w:p>
    <w:p w14:paraId="788A90AB">
      <w:pPr>
        <w:pStyle w:val="2"/>
        <w:rPr>
          <w:color w:val="auto"/>
          <w:highlight w:val="none"/>
        </w:rPr>
      </w:pPr>
    </w:p>
    <w:p w14:paraId="76C469AC">
      <w:pPr>
        <w:rPr>
          <w:color w:val="auto"/>
          <w:highlight w:val="none"/>
        </w:rPr>
      </w:pPr>
    </w:p>
    <w:p w14:paraId="499CA5EB">
      <w:pPr>
        <w:pStyle w:val="2"/>
        <w:rPr>
          <w:color w:val="auto"/>
          <w:highlight w:val="none"/>
        </w:rPr>
      </w:pPr>
    </w:p>
    <w:p w14:paraId="4AF15CA6">
      <w:pPr>
        <w:rPr>
          <w:color w:val="auto"/>
          <w:highlight w:val="none"/>
        </w:rPr>
      </w:pPr>
    </w:p>
    <w:p w14:paraId="3D65CCE3">
      <w:pPr>
        <w:pStyle w:val="2"/>
        <w:rPr>
          <w:color w:val="auto"/>
          <w:highlight w:val="none"/>
        </w:rPr>
      </w:pPr>
    </w:p>
    <w:p w14:paraId="189BDBEA">
      <w:pPr>
        <w:rPr>
          <w:color w:val="auto"/>
          <w:highlight w:val="none"/>
        </w:rPr>
      </w:pPr>
    </w:p>
    <w:p w14:paraId="7863BEAC">
      <w:pPr>
        <w:pStyle w:val="2"/>
        <w:rPr>
          <w:color w:val="auto"/>
          <w:highlight w:val="none"/>
        </w:rPr>
      </w:pPr>
    </w:p>
    <w:p w14:paraId="77CF98A3">
      <w:pPr>
        <w:rPr>
          <w:color w:val="auto"/>
          <w:highlight w:val="none"/>
        </w:rPr>
      </w:pPr>
    </w:p>
    <w:p w14:paraId="63EE75F4">
      <w:pPr>
        <w:pStyle w:val="2"/>
        <w:rPr>
          <w:color w:val="auto"/>
          <w:highlight w:val="none"/>
        </w:rPr>
      </w:pPr>
    </w:p>
    <w:bookmarkEnd w:id="1"/>
    <w:bookmarkEnd w:id="2"/>
    <w:bookmarkEnd w:id="3"/>
    <w:p w14:paraId="35A2547B">
      <w:pPr>
        <w:pStyle w:val="4"/>
        <w:rPr>
          <w:rFonts w:hint="eastAsia"/>
          <w:color w:val="auto"/>
          <w:highlight w:val="none"/>
        </w:rPr>
        <w:sectPr>
          <w:footerReference r:id="rId5" w:type="default"/>
          <w:pgSz w:w="11905" w:h="16838"/>
          <w:pgMar w:top="964" w:right="794" w:bottom="850" w:left="1020" w:header="850" w:footer="992" w:gutter="0"/>
          <w:pgBorders>
            <w:top w:val="none" w:sz="0" w:space="0"/>
            <w:left w:val="none" w:sz="0" w:space="0"/>
            <w:bottom w:val="none" w:sz="0" w:space="0"/>
            <w:right w:val="none" w:sz="0" w:space="0"/>
          </w:pgBorders>
          <w:pgNumType w:fmt="decimal" w:start="1"/>
          <w:cols w:space="720" w:num="1"/>
          <w:rtlGutter w:val="0"/>
          <w:docGrid w:type="lines" w:linePitch="317" w:charSpace="0"/>
        </w:sectPr>
      </w:pPr>
    </w:p>
    <w:p w14:paraId="2B13D9B9">
      <w:pPr>
        <w:autoSpaceDE w:val="0"/>
        <w:autoSpaceDN w:val="0"/>
        <w:adjustRightInd w:val="0"/>
        <w:snapToGrid w:val="0"/>
        <w:spacing w:line="360" w:lineRule="auto"/>
        <w:jc w:val="center"/>
        <w:rPr>
          <w:rFonts w:hint="eastAsia" w:ascii="宋体" w:hAnsi="宋体" w:cs="MingLiU"/>
          <w:b/>
          <w:color w:val="auto"/>
          <w:kern w:val="0"/>
          <w:sz w:val="44"/>
          <w:szCs w:val="44"/>
          <w:highlight w:val="none"/>
        </w:rPr>
      </w:pPr>
      <w:bookmarkStart w:id="5" w:name="_Toc2330"/>
      <w:r>
        <w:rPr>
          <w:rFonts w:hint="eastAsia"/>
          <w:color w:val="auto"/>
          <w:sz w:val="36"/>
          <w:szCs w:val="36"/>
          <w:highlight w:val="none"/>
          <w:lang w:val="en-US" w:eastAsia="zh-CN"/>
        </w:rPr>
        <w:t xml:space="preserve">第一章 </w:t>
      </w:r>
      <w:r>
        <w:rPr>
          <w:rFonts w:hint="eastAsia"/>
          <w:color w:val="auto"/>
          <w:sz w:val="36"/>
          <w:szCs w:val="36"/>
          <w:highlight w:val="none"/>
        </w:rPr>
        <w:t>比选公告</w:t>
      </w:r>
      <w:bookmarkEnd w:id="4"/>
      <w:bookmarkEnd w:id="5"/>
      <w:r>
        <w:rPr>
          <w:rFonts w:hint="eastAsia" w:ascii="Times New Roman" w:hAnsi="Times New Roman" w:eastAsia="宋体" w:cs="Times New Roman"/>
          <w:color w:val="auto"/>
          <w:sz w:val="36"/>
          <w:szCs w:val="36"/>
          <w:highlight w:val="none"/>
          <w:lang w:eastAsia="zh-CN"/>
        </w:rPr>
        <w:t>（</w:t>
      </w:r>
      <w:r>
        <w:rPr>
          <w:rFonts w:hint="eastAsia" w:ascii="Times New Roman" w:hAnsi="Times New Roman" w:eastAsia="宋体" w:cs="Times New Roman"/>
          <w:color w:val="auto"/>
          <w:sz w:val="36"/>
          <w:szCs w:val="36"/>
          <w:highlight w:val="none"/>
          <w:lang w:val="en-US" w:eastAsia="zh-CN"/>
        </w:rPr>
        <w:t>经评审的合理低价法</w:t>
      </w:r>
      <w:r>
        <w:rPr>
          <w:rFonts w:hint="eastAsia" w:ascii="Times New Roman" w:hAnsi="Times New Roman" w:eastAsia="宋体" w:cs="Times New Roman"/>
          <w:color w:val="auto"/>
          <w:sz w:val="36"/>
          <w:szCs w:val="36"/>
          <w:highlight w:val="none"/>
          <w:lang w:eastAsia="zh-CN"/>
        </w:rPr>
        <w:t>）</w:t>
      </w:r>
    </w:p>
    <w:p w14:paraId="1DFD1523">
      <w:pPr>
        <w:rPr>
          <w:rFonts w:hint="eastAsia"/>
        </w:rPr>
      </w:pPr>
    </w:p>
    <w:p w14:paraId="65C21211">
      <w:pPr>
        <w:pStyle w:val="6"/>
        <w:keepNext w:val="0"/>
        <w:keepLines w:val="0"/>
        <w:pageBreakBefore w:val="0"/>
        <w:kinsoku/>
        <w:wordWrap/>
        <w:overflowPunct/>
        <w:topLinePunct w:val="0"/>
        <w:bidi w:val="0"/>
        <w:spacing w:before="0" w:line="380" w:lineRule="exact"/>
        <w:textAlignment w:val="auto"/>
        <w:rPr>
          <w:rFonts w:ascii="宋体" w:eastAsia="宋体"/>
          <w:snapToGrid w:val="0"/>
          <w:color w:val="auto"/>
          <w:sz w:val="21"/>
          <w:szCs w:val="21"/>
          <w:highlight w:val="none"/>
        </w:rPr>
      </w:pPr>
      <w:bookmarkStart w:id="6" w:name="_Toc443576763"/>
      <w:bookmarkStart w:id="7" w:name="_Toc212871819"/>
      <w:bookmarkStart w:id="8" w:name="_Toc443576770"/>
      <w:bookmarkStart w:id="9" w:name="_Toc224103315"/>
      <w:r>
        <w:rPr>
          <w:rFonts w:hint="eastAsia" w:ascii="宋体" w:eastAsia="宋体"/>
          <w:snapToGrid w:val="0"/>
          <w:color w:val="auto"/>
          <w:sz w:val="21"/>
          <w:szCs w:val="21"/>
          <w:highlight w:val="none"/>
        </w:rPr>
        <w:t>1．比选条件</w:t>
      </w:r>
      <w:bookmarkEnd w:id="6"/>
      <w:bookmarkEnd w:id="7"/>
    </w:p>
    <w:p w14:paraId="1B07D755">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bCs/>
          <w:color w:val="auto"/>
          <w:kern w:val="0"/>
          <w:sz w:val="22"/>
          <w:szCs w:val="22"/>
          <w:highlight w:val="none"/>
          <w:lang w:val="en-US" w:eastAsia="zh-CN"/>
        </w:rPr>
      </w:pPr>
      <w:r>
        <w:rPr>
          <w:rFonts w:hint="eastAsia" w:ascii="宋体" w:hAnsi="宋体" w:cs="宋体"/>
          <w:bCs/>
          <w:color w:val="auto"/>
          <w:kern w:val="0"/>
          <w:sz w:val="22"/>
          <w:szCs w:val="22"/>
          <w:highlight w:val="none"/>
        </w:rPr>
        <w:t>本项目</w:t>
      </w:r>
      <w:r>
        <w:rPr>
          <w:rFonts w:hint="eastAsia" w:ascii="宋体" w:hAnsi="宋体" w:cs="宋体"/>
          <w:spacing w:val="4"/>
          <w:sz w:val="22"/>
          <w:szCs w:val="22"/>
          <w:highlight w:val="none"/>
          <w:u w:val="single" w:color="auto"/>
          <w:lang w:eastAsia="zh-CN"/>
        </w:rPr>
        <w:t>蚩尤九黎城东城门至九黎酒店供水管道改道项目（劳务分包）</w:t>
      </w:r>
      <w:r>
        <w:rPr>
          <w:rFonts w:hint="eastAsia" w:ascii="宋体" w:hAnsi="宋体" w:cs="宋体"/>
          <w:bCs/>
          <w:color w:val="auto"/>
          <w:kern w:val="0"/>
          <w:sz w:val="22"/>
          <w:szCs w:val="22"/>
          <w:highlight w:val="none"/>
          <w:u w:val="none"/>
        </w:rPr>
        <w:t>已</w:t>
      </w:r>
      <w:r>
        <w:rPr>
          <w:rFonts w:hint="eastAsia" w:ascii="宋体" w:hAnsi="宋体" w:cs="宋体"/>
          <w:bCs/>
          <w:color w:val="auto"/>
          <w:kern w:val="0"/>
          <w:sz w:val="22"/>
          <w:szCs w:val="22"/>
          <w:highlight w:val="none"/>
        </w:rPr>
        <w:t>由</w:t>
      </w:r>
      <w:r>
        <w:rPr>
          <w:rFonts w:hint="eastAsia" w:ascii="宋体" w:hAnsi="宋体" w:cs="宋体"/>
          <w:b w:val="0"/>
          <w:bCs w:val="0"/>
          <w:snapToGrid w:val="0"/>
          <w:color w:val="auto"/>
          <w:kern w:val="0"/>
          <w:sz w:val="22"/>
          <w:szCs w:val="22"/>
          <w:highlight w:val="none"/>
          <w:u w:val="single"/>
          <w:lang w:eastAsia="zh-CN"/>
        </w:rPr>
        <w:t>彭水九黎文化旅游投资有限公司</w:t>
      </w:r>
      <w:r>
        <w:rPr>
          <w:rFonts w:hint="eastAsia"/>
          <w:color w:val="auto"/>
          <w:sz w:val="22"/>
          <w:szCs w:val="22"/>
          <w:highlight w:val="none"/>
          <w:shd w:val="clear" w:color="auto" w:fill="FFFFFF"/>
        </w:rPr>
        <w:t>批准建设</w:t>
      </w:r>
      <w:r>
        <w:rPr>
          <w:rFonts w:hint="eastAsia" w:ascii="宋体" w:hAnsi="宋体" w:cs="宋体"/>
          <w:bCs/>
          <w:color w:val="auto"/>
          <w:kern w:val="0"/>
          <w:sz w:val="22"/>
          <w:szCs w:val="22"/>
          <w:highlight w:val="none"/>
        </w:rPr>
        <w:t>，比选人为</w:t>
      </w:r>
      <w:r>
        <w:rPr>
          <w:rFonts w:hint="eastAsia" w:ascii="宋体" w:hAnsi="宋体" w:cs="宋体"/>
          <w:b w:val="0"/>
          <w:bCs w:val="0"/>
          <w:snapToGrid w:val="0"/>
          <w:color w:val="auto"/>
          <w:kern w:val="0"/>
          <w:sz w:val="22"/>
          <w:szCs w:val="22"/>
          <w:highlight w:val="none"/>
          <w:u w:val="single"/>
          <w:lang w:eastAsia="zh-CN"/>
        </w:rPr>
        <w:t>彭水九黎文化旅游投资有限公司</w:t>
      </w:r>
      <w:r>
        <w:rPr>
          <w:rFonts w:hint="eastAsia" w:ascii="宋体" w:hAnsi="宋体" w:eastAsia="宋体" w:cs="宋体"/>
          <w:b w:val="0"/>
          <w:bCs w:val="0"/>
          <w:color w:val="auto"/>
          <w:kern w:val="0"/>
          <w:sz w:val="22"/>
          <w:szCs w:val="22"/>
          <w:highlight w:val="none"/>
        </w:rPr>
        <w:t>。</w:t>
      </w:r>
      <w:r>
        <w:rPr>
          <w:rFonts w:hint="eastAsia" w:ascii="宋体" w:hAnsi="宋体" w:cs="宋体"/>
          <w:bCs/>
          <w:color w:val="auto"/>
          <w:kern w:val="0"/>
          <w:sz w:val="22"/>
          <w:szCs w:val="22"/>
          <w:highlight w:val="none"/>
        </w:rPr>
        <w:t>建设资金来源为</w:t>
      </w:r>
      <w:bookmarkStart w:id="10" w:name="_Toc214434226"/>
      <w:r>
        <w:rPr>
          <w:rFonts w:hint="eastAsia" w:ascii="宋体" w:hAnsi="宋体" w:cs="宋体"/>
          <w:bCs/>
          <w:color w:val="FF0000"/>
          <w:kern w:val="0"/>
          <w:sz w:val="22"/>
          <w:szCs w:val="22"/>
          <w:highlight w:val="none"/>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自筹资金</w:t>
      </w:r>
      <w:r>
        <w:rPr>
          <w:rFonts w:hint="eastAsia" w:ascii="宋体" w:hAnsi="宋体" w:cs="宋体"/>
          <w:bCs/>
          <w:color w:val="auto"/>
          <w:kern w:val="0"/>
          <w:sz w:val="22"/>
          <w:szCs w:val="22"/>
          <w:highlight w:val="none"/>
        </w:rPr>
        <w:t>。本项目已具备比选条件，拟对该项目施工</w:t>
      </w:r>
      <w:r>
        <w:rPr>
          <w:rFonts w:hint="eastAsia" w:ascii="宋体" w:hAnsi="宋体" w:cs="宋体"/>
          <w:bCs/>
          <w:color w:val="auto"/>
          <w:kern w:val="0"/>
          <w:sz w:val="22"/>
          <w:szCs w:val="22"/>
          <w:highlight w:val="none"/>
          <w:lang w:val="en-US" w:eastAsia="zh-CN"/>
        </w:rPr>
        <w:t>劳务</w:t>
      </w:r>
      <w:r>
        <w:rPr>
          <w:rFonts w:hint="eastAsia" w:ascii="宋体" w:hAnsi="宋体" w:cs="宋体"/>
          <w:bCs/>
          <w:color w:val="auto"/>
          <w:kern w:val="0"/>
          <w:sz w:val="22"/>
          <w:szCs w:val="22"/>
          <w:highlight w:val="none"/>
        </w:rPr>
        <w:t>进行竞争性比选，确定施工</w:t>
      </w:r>
      <w:r>
        <w:rPr>
          <w:rFonts w:hint="eastAsia" w:ascii="宋体" w:hAnsi="宋体" w:cs="宋体"/>
          <w:bCs/>
          <w:color w:val="auto"/>
          <w:kern w:val="0"/>
          <w:sz w:val="22"/>
          <w:szCs w:val="22"/>
          <w:highlight w:val="none"/>
          <w:lang w:val="en-US" w:eastAsia="zh-CN"/>
        </w:rPr>
        <w:t>劳务</w:t>
      </w:r>
      <w:r>
        <w:rPr>
          <w:rFonts w:hint="eastAsia" w:ascii="宋体" w:hAnsi="宋体" w:cs="宋体"/>
          <w:bCs/>
          <w:color w:val="auto"/>
          <w:kern w:val="0"/>
          <w:sz w:val="22"/>
          <w:szCs w:val="22"/>
          <w:highlight w:val="none"/>
        </w:rPr>
        <w:t>企业。</w:t>
      </w:r>
    </w:p>
    <w:p w14:paraId="768C70EC">
      <w:pPr>
        <w:pStyle w:val="6"/>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cs="宋体"/>
          <w:b w:val="0"/>
          <w:bCs/>
          <w:color w:val="auto"/>
          <w:sz w:val="22"/>
          <w:szCs w:val="22"/>
          <w:highlight w:val="none"/>
        </w:rPr>
      </w:pPr>
      <w:bookmarkStart w:id="11" w:name="_Toc443576764"/>
      <w:r>
        <w:rPr>
          <w:rFonts w:hint="eastAsia" w:ascii="宋体" w:eastAsia="宋体"/>
          <w:snapToGrid w:val="0"/>
          <w:color w:val="auto"/>
          <w:sz w:val="22"/>
          <w:szCs w:val="22"/>
          <w:highlight w:val="none"/>
        </w:rPr>
        <w:t>2．项目概况与比选范围</w:t>
      </w:r>
      <w:bookmarkEnd w:id="10"/>
      <w:bookmarkEnd w:id="11"/>
    </w:p>
    <w:p w14:paraId="1C927902">
      <w:pPr>
        <w:keepNext w:val="0"/>
        <w:keepLines w:val="0"/>
        <w:pageBreakBefore w:val="0"/>
        <w:kinsoku/>
        <w:wordWrap/>
        <w:overflowPunct/>
        <w:topLinePunct w:val="0"/>
        <w:bidi w:val="0"/>
        <w:spacing w:line="360" w:lineRule="auto"/>
        <w:ind w:firstLine="440" w:firstLineChars="200"/>
        <w:jc w:val="left"/>
        <w:textAlignment w:val="auto"/>
        <w:rPr>
          <w:rFonts w:hint="default" w:ascii="宋体" w:hAnsi="宋体" w:cs="宋体"/>
          <w:b w:val="0"/>
          <w:bCs/>
          <w:color w:val="auto"/>
          <w:kern w:val="0"/>
          <w:sz w:val="22"/>
          <w:szCs w:val="22"/>
          <w:highlight w:val="none"/>
          <w:lang w:val="en-US"/>
        </w:rPr>
      </w:pPr>
      <w:r>
        <w:rPr>
          <w:rFonts w:hint="eastAsia" w:ascii="宋体" w:hAnsi="宋体" w:cs="宋体"/>
          <w:bCs/>
          <w:color w:val="auto"/>
          <w:kern w:val="0"/>
          <w:sz w:val="22"/>
          <w:szCs w:val="22"/>
          <w:highlight w:val="none"/>
        </w:rPr>
        <w:t>2.1项目建设地点：</w:t>
      </w:r>
      <w:r>
        <w:rPr>
          <w:rFonts w:hint="eastAsia" w:ascii="宋体" w:hAnsi="宋体" w:cs="宋体"/>
          <w:color w:val="000000" w:themeColor="text1"/>
          <w:spacing w:val="4"/>
          <w:sz w:val="22"/>
          <w:szCs w:val="22"/>
          <w:highlight w:val="none"/>
          <w:u w:val="single" w:color="auto"/>
          <w:lang w:eastAsia="zh-CN"/>
          <w14:textFill>
            <w14:solidFill>
              <w14:schemeClr w14:val="tx1"/>
            </w14:solidFill>
          </w14:textFill>
        </w:rPr>
        <w:t>蚩尤九黎城东城门至九黎酒店</w:t>
      </w:r>
      <w:r>
        <w:rPr>
          <w:rFonts w:hint="eastAsia" w:ascii="宋体" w:hAnsi="宋体" w:eastAsia="宋体" w:cs="宋体"/>
          <w:spacing w:val="4"/>
          <w:sz w:val="22"/>
          <w:szCs w:val="22"/>
          <w:highlight w:val="none"/>
          <w:u w:val="single" w:color="auto"/>
          <w:lang w:eastAsia="zh-CN"/>
        </w:rPr>
        <w:t>。</w:t>
      </w:r>
    </w:p>
    <w:p w14:paraId="62CE8471">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spacing w:val="9"/>
          <w:sz w:val="21"/>
          <w:szCs w:val="21"/>
          <w:highlight w:val="none"/>
          <w:lang w:val="en-US" w:eastAsia="zh-CN"/>
        </w:rPr>
      </w:pPr>
      <w:r>
        <w:rPr>
          <w:rFonts w:hint="eastAsia" w:ascii="宋体" w:hAnsi="宋体" w:eastAsia="宋体" w:cs="宋体"/>
          <w:bCs/>
          <w:color w:val="auto"/>
          <w:kern w:val="0"/>
          <w:sz w:val="22"/>
          <w:szCs w:val="22"/>
          <w:highlight w:val="none"/>
          <w:lang w:val="en-US" w:eastAsia="zh-CN"/>
        </w:rPr>
        <w:t>2.2项目建设规模及建设内容</w:t>
      </w:r>
      <w:r>
        <w:rPr>
          <w:rFonts w:hint="eastAsia" w:ascii="宋体" w:hAnsi="宋体" w:eastAsia="宋体" w:cs="宋体"/>
          <w:spacing w:val="9"/>
          <w:sz w:val="21"/>
          <w:szCs w:val="21"/>
          <w:highlight w:val="none"/>
          <w:lang w:val="en-US" w:eastAsia="zh-CN"/>
        </w:rPr>
        <w:t>：</w:t>
      </w:r>
      <w:r>
        <w:rPr>
          <w:rFonts w:hint="eastAsia" w:ascii="宋体" w:hAnsi="宋体" w:eastAsia="宋体" w:cs="宋体"/>
          <w:spacing w:val="4"/>
          <w:sz w:val="22"/>
          <w:szCs w:val="22"/>
          <w:highlight w:val="none"/>
          <w:u w:val="single" w:color="auto"/>
          <w:lang w:eastAsia="zh-CN"/>
        </w:rPr>
        <w:t>具体</w:t>
      </w:r>
      <w:r>
        <w:rPr>
          <w:rFonts w:hint="eastAsia" w:ascii="宋体" w:hAnsi="宋体" w:eastAsia="宋体" w:cs="宋体"/>
          <w:spacing w:val="4"/>
          <w:sz w:val="22"/>
          <w:szCs w:val="22"/>
          <w:highlight w:val="none"/>
          <w:u w:val="single" w:color="auto"/>
          <w:lang w:val="en-US" w:eastAsia="zh-CN"/>
        </w:rPr>
        <w:t>施工内容以</w:t>
      </w:r>
      <w:r>
        <w:rPr>
          <w:rFonts w:hint="eastAsia" w:ascii="宋体" w:hAnsi="宋体" w:eastAsia="宋体" w:cs="宋体"/>
          <w:spacing w:val="4"/>
          <w:sz w:val="22"/>
          <w:szCs w:val="22"/>
          <w:highlight w:val="none"/>
          <w:u w:val="single" w:color="auto"/>
          <w:lang w:eastAsia="zh-CN"/>
        </w:rPr>
        <w:t>比选人提供的工程量清单及图纸为准。</w:t>
      </w:r>
    </w:p>
    <w:p w14:paraId="66C1EB57">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2.3比选范围：</w:t>
      </w:r>
    </w:p>
    <w:p w14:paraId="28E87AFC">
      <w:pPr>
        <w:keepNext w:val="0"/>
        <w:keepLines w:val="0"/>
        <w:pageBreakBefore w:val="0"/>
        <w:kinsoku/>
        <w:wordWrap/>
        <w:overflowPunct/>
        <w:topLinePunct w:val="0"/>
        <w:bidi w:val="0"/>
        <w:spacing w:line="380" w:lineRule="exact"/>
        <w:ind w:firstLine="440" w:firstLineChars="200"/>
        <w:jc w:val="left"/>
        <w:textAlignment w:val="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比选人提供</w:t>
      </w:r>
      <w:r>
        <w:rPr>
          <w:rFonts w:hint="eastAsia" w:ascii="宋体" w:hAnsi="宋体" w:cs="宋体"/>
          <w:color w:val="auto"/>
          <w:kern w:val="0"/>
          <w:sz w:val="22"/>
          <w:szCs w:val="22"/>
          <w:highlight w:val="none"/>
        </w:rPr>
        <w:t>的《</w:t>
      </w:r>
      <w:r>
        <w:rPr>
          <w:rFonts w:hint="eastAsia" w:ascii="宋体" w:hAnsi="宋体" w:cs="宋体"/>
          <w:spacing w:val="4"/>
          <w:sz w:val="22"/>
          <w:szCs w:val="22"/>
          <w:highlight w:val="none"/>
          <w:u w:val="single" w:color="auto"/>
          <w:lang w:eastAsia="zh-CN"/>
        </w:rPr>
        <w:t>蚩尤九黎城东城门至九黎酒店供水管道改道项目（劳务分包）</w:t>
      </w:r>
      <w:r>
        <w:rPr>
          <w:rFonts w:hint="eastAsia" w:ascii="宋体" w:hAnsi="宋体" w:cs="宋体"/>
          <w:color w:val="auto"/>
          <w:kern w:val="0"/>
          <w:sz w:val="22"/>
          <w:szCs w:val="22"/>
          <w:highlight w:val="none"/>
          <w:u w:val="none"/>
        </w:rPr>
        <w:t>》</w:t>
      </w:r>
      <w:r>
        <w:rPr>
          <w:rFonts w:hint="eastAsia" w:ascii="宋体" w:hAnsi="宋体" w:cs="宋体"/>
          <w:color w:val="auto"/>
          <w:kern w:val="0"/>
          <w:sz w:val="22"/>
          <w:szCs w:val="22"/>
          <w:highlight w:val="none"/>
        </w:rPr>
        <w:t>所包含全部工程内容</w:t>
      </w:r>
      <w:r>
        <w:rPr>
          <w:rFonts w:hint="eastAsia" w:ascii="宋体" w:hAnsi="宋体" w:cs="宋体"/>
          <w:bCs/>
          <w:color w:val="000000"/>
          <w:kern w:val="0"/>
          <w:szCs w:val="21"/>
          <w:highlight w:val="none"/>
          <w:lang w:val="en-US" w:eastAsia="zh-CN"/>
        </w:rPr>
        <w:t>，</w:t>
      </w:r>
      <w:r>
        <w:rPr>
          <w:rFonts w:hint="eastAsia" w:ascii="宋体" w:hAnsi="宋体" w:eastAsia="宋体" w:cs="宋体"/>
          <w:bCs/>
          <w:color w:val="auto"/>
          <w:kern w:val="0"/>
          <w:sz w:val="22"/>
          <w:szCs w:val="22"/>
          <w:highlight w:val="none"/>
        </w:rPr>
        <w:t>具体以比选人提供的工程量清单及图纸为准</w:t>
      </w:r>
      <w:r>
        <w:rPr>
          <w:rFonts w:hint="eastAsia" w:ascii="宋体" w:hAnsi="宋体" w:cs="宋体"/>
          <w:bCs/>
          <w:color w:val="auto"/>
          <w:kern w:val="0"/>
          <w:sz w:val="22"/>
          <w:szCs w:val="22"/>
          <w:highlight w:val="none"/>
          <w:lang w:eastAsia="zh-CN"/>
        </w:rPr>
        <w:t>（</w:t>
      </w:r>
      <w:r>
        <w:rPr>
          <w:rFonts w:hint="eastAsia" w:ascii="宋体" w:hAnsi="宋体" w:cs="宋体"/>
          <w:bCs/>
          <w:color w:val="auto"/>
          <w:kern w:val="0"/>
          <w:sz w:val="22"/>
          <w:szCs w:val="22"/>
          <w:highlight w:val="none"/>
          <w:lang w:val="en-US" w:eastAsia="zh-CN"/>
        </w:rPr>
        <w:t>包含甲供材料见附件）</w:t>
      </w:r>
      <w:r>
        <w:rPr>
          <w:rFonts w:hint="eastAsia" w:ascii="宋体" w:hAnsi="宋体" w:eastAsia="宋体" w:cs="宋体"/>
          <w:bCs/>
          <w:color w:val="auto"/>
          <w:kern w:val="0"/>
          <w:sz w:val="22"/>
          <w:szCs w:val="22"/>
          <w:highlight w:val="none"/>
        </w:rPr>
        <w:t>。</w:t>
      </w:r>
    </w:p>
    <w:p w14:paraId="3BA3242E">
      <w:pPr>
        <w:keepNext w:val="0"/>
        <w:keepLines w:val="0"/>
        <w:pageBreakBefore w:val="0"/>
        <w:kinsoku/>
        <w:wordWrap/>
        <w:overflowPunct/>
        <w:topLinePunct w:val="0"/>
        <w:bidi w:val="0"/>
        <w:spacing w:line="360" w:lineRule="auto"/>
        <w:ind w:firstLine="440" w:firstLineChars="200"/>
        <w:jc w:val="left"/>
        <w:textAlignment w:val="auto"/>
        <w:rPr>
          <w:rFonts w:hint="default" w:ascii="宋体" w:hAnsi="宋体" w:cs="宋体"/>
          <w:bCs/>
          <w:color w:val="auto"/>
          <w:kern w:val="0"/>
          <w:sz w:val="22"/>
          <w:szCs w:val="22"/>
          <w:highlight w:val="none"/>
          <w:lang w:val="en-US" w:eastAsia="zh-CN"/>
        </w:rPr>
      </w:pPr>
      <w:r>
        <w:rPr>
          <w:rFonts w:hint="eastAsia" w:ascii="宋体" w:hAnsi="宋体" w:cs="宋体"/>
          <w:bCs/>
          <w:color w:val="auto"/>
          <w:kern w:val="0"/>
          <w:sz w:val="22"/>
          <w:szCs w:val="22"/>
          <w:highlight w:val="none"/>
        </w:rPr>
        <w:t>2.4计划工期</w:t>
      </w:r>
      <w:r>
        <w:rPr>
          <w:rFonts w:hint="eastAsia" w:ascii="宋体" w:hAnsi="宋体"/>
          <w:bCs/>
          <w:color w:val="auto"/>
          <w:sz w:val="22"/>
          <w:szCs w:val="22"/>
          <w:highlight w:val="none"/>
        </w:rPr>
        <w:t>：</w:t>
      </w:r>
      <w:r>
        <w:rPr>
          <w:rFonts w:hint="eastAsia" w:ascii="宋体" w:hAnsi="宋体" w:cs="宋体"/>
          <w:bCs/>
          <w:color w:val="auto"/>
          <w:kern w:val="0"/>
          <w:sz w:val="22"/>
          <w:szCs w:val="22"/>
          <w:highlight w:val="none"/>
          <w:lang w:val="en-US" w:eastAsia="zh-CN"/>
        </w:rPr>
        <w:t>以比选人要求为准。</w:t>
      </w:r>
    </w:p>
    <w:p w14:paraId="39901263">
      <w:pPr>
        <w:pStyle w:val="6"/>
        <w:keepNext w:val="0"/>
        <w:keepLines w:val="0"/>
        <w:pageBreakBefore w:val="0"/>
        <w:kinsoku/>
        <w:wordWrap/>
        <w:overflowPunct/>
        <w:topLinePunct w:val="0"/>
        <w:bidi w:val="0"/>
        <w:spacing w:before="0" w:line="360" w:lineRule="auto"/>
        <w:ind w:firstLine="442" w:firstLineChars="200"/>
        <w:textAlignment w:val="auto"/>
        <w:rPr>
          <w:rFonts w:ascii="宋体" w:eastAsia="宋体"/>
          <w:snapToGrid w:val="0"/>
          <w:color w:val="auto"/>
          <w:sz w:val="22"/>
          <w:szCs w:val="22"/>
          <w:highlight w:val="none"/>
        </w:rPr>
      </w:pPr>
      <w:bookmarkStart w:id="12" w:name="_Toc443576765"/>
      <w:r>
        <w:rPr>
          <w:rFonts w:hint="eastAsia" w:ascii="宋体" w:eastAsia="宋体"/>
          <w:snapToGrid w:val="0"/>
          <w:color w:val="auto"/>
          <w:sz w:val="22"/>
          <w:szCs w:val="22"/>
          <w:highlight w:val="none"/>
        </w:rPr>
        <w:t>3.竞选人资格要求</w:t>
      </w:r>
      <w:bookmarkEnd w:id="12"/>
    </w:p>
    <w:p w14:paraId="26629C29">
      <w:pPr>
        <w:keepNext w:val="0"/>
        <w:keepLines w:val="0"/>
        <w:pageBreakBefore w:val="0"/>
        <w:kinsoku/>
        <w:wordWrap/>
        <w:overflowPunct/>
        <w:topLinePunct w:val="0"/>
        <w:bidi w:val="0"/>
        <w:snapToGrid w:val="0"/>
        <w:spacing w:line="360" w:lineRule="auto"/>
        <w:ind w:firstLine="440" w:firstLineChars="200"/>
        <w:textAlignment w:val="auto"/>
        <w:rPr>
          <w:rFonts w:hint="eastAsia" w:ascii="宋体" w:hAnsi="宋体" w:cs="宋体"/>
          <w:color w:val="auto"/>
          <w:kern w:val="0"/>
          <w:sz w:val="22"/>
          <w:szCs w:val="22"/>
          <w:highlight w:val="none"/>
          <w:u w:val="none"/>
        </w:rPr>
      </w:pPr>
      <w:bookmarkStart w:id="13" w:name="_Toc443576766"/>
      <w:r>
        <w:rPr>
          <w:rFonts w:hint="eastAsia" w:ascii="宋体" w:hAnsi="宋体" w:cs="宋体"/>
          <w:color w:val="auto"/>
          <w:kern w:val="0"/>
          <w:sz w:val="22"/>
          <w:szCs w:val="22"/>
          <w:highlight w:val="none"/>
        </w:rPr>
        <w:t>3.1参与本次比选的竞选人须具备建设行政主管部门颁发的</w:t>
      </w:r>
      <w:r>
        <w:rPr>
          <w:rFonts w:hint="eastAsia" w:ascii="宋体" w:hAnsi="宋体" w:cs="宋体"/>
          <w:b/>
          <w:bCs/>
          <w:color w:val="auto"/>
          <w:sz w:val="22"/>
          <w:szCs w:val="22"/>
          <w:highlight w:val="none"/>
          <w:u w:val="single"/>
          <w:lang w:eastAsia="zh-CN"/>
        </w:rPr>
        <w:t>施工劳务不分等级</w:t>
      </w:r>
      <w:r>
        <w:rPr>
          <w:rFonts w:hint="eastAsia" w:ascii="宋体" w:hAnsi="宋体" w:cs="宋体"/>
          <w:color w:val="auto"/>
          <w:kern w:val="0"/>
          <w:sz w:val="22"/>
          <w:szCs w:val="22"/>
          <w:highlight w:val="none"/>
          <w:u w:val="none"/>
        </w:rPr>
        <w:t>，并在人员、设备、资金等方面具有相应的施工能力。</w:t>
      </w:r>
    </w:p>
    <w:p w14:paraId="304F952E">
      <w:pPr>
        <w:keepNext w:val="0"/>
        <w:keepLines w:val="0"/>
        <w:pageBreakBefore w:val="0"/>
        <w:widowControl/>
        <w:tabs>
          <w:tab w:val="left" w:pos="3840"/>
        </w:tabs>
        <w:kinsoku/>
        <w:wordWrap/>
        <w:overflowPunct/>
        <w:topLinePunct w:val="0"/>
        <w:bidi w:val="0"/>
        <w:adjustRightInd w:val="0"/>
        <w:snapToGrid w:val="0"/>
        <w:spacing w:line="360" w:lineRule="auto"/>
        <w:ind w:firstLine="440" w:firstLineChars="20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3.2本工程</w:t>
      </w:r>
      <w:r>
        <w:rPr>
          <w:rFonts w:hint="eastAsia" w:ascii="宋体" w:hAnsi="宋体" w:cs="宋体"/>
          <w:color w:val="auto"/>
          <w:kern w:val="0"/>
          <w:sz w:val="22"/>
          <w:szCs w:val="22"/>
          <w:highlight w:val="none"/>
          <w:u w:val="single"/>
        </w:rPr>
        <w:t>不接受</w:t>
      </w:r>
      <w:r>
        <w:rPr>
          <w:rFonts w:hint="eastAsia" w:ascii="宋体" w:hAnsi="宋体" w:cs="宋体"/>
          <w:color w:val="auto"/>
          <w:kern w:val="0"/>
          <w:sz w:val="22"/>
          <w:szCs w:val="22"/>
          <w:highlight w:val="none"/>
        </w:rPr>
        <w:t>联合体投标。</w:t>
      </w:r>
    </w:p>
    <w:p w14:paraId="341C7378">
      <w:pPr>
        <w:pStyle w:val="6"/>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MingLiU"/>
          <w:snapToGrid w:val="0"/>
          <w:color w:val="auto"/>
          <w:sz w:val="22"/>
          <w:szCs w:val="22"/>
          <w:highlight w:val="none"/>
        </w:rPr>
      </w:pPr>
      <w:r>
        <w:rPr>
          <w:rFonts w:hint="eastAsia" w:ascii="宋体" w:eastAsia="宋体"/>
          <w:snapToGrid w:val="0"/>
          <w:color w:val="auto"/>
          <w:sz w:val="22"/>
          <w:szCs w:val="22"/>
          <w:highlight w:val="none"/>
        </w:rPr>
        <w:t>4.比选文件的获取</w:t>
      </w:r>
      <w:bookmarkEnd w:id="13"/>
    </w:p>
    <w:p w14:paraId="14997CF6">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w:t>
      </w:r>
      <w:r>
        <w:rPr>
          <w:rFonts w:hint="eastAsia" w:ascii="宋体" w:hAnsi="宋体" w:eastAsia="宋体" w:cs="宋体"/>
          <w:bCs/>
          <w:color w:val="auto"/>
          <w:sz w:val="22"/>
          <w:szCs w:val="22"/>
          <w:highlight w:val="none"/>
        </w:rPr>
        <w:t>凡有意参加比选且符合资格要求的潜在竞选人，请于</w:t>
      </w:r>
      <w:r>
        <w:rPr>
          <w:rFonts w:hint="eastAsia" w:ascii="宋体" w:hAnsi="宋体" w:eastAsia="宋体" w:cs="宋体"/>
          <w:bCs/>
          <w:color w:val="000000" w:themeColor="text1"/>
          <w:sz w:val="22"/>
          <w:szCs w:val="22"/>
          <w:highlight w:val="none"/>
          <w:u w:val="single"/>
          <w14:textFill>
            <w14:solidFill>
              <w14:schemeClr w14:val="tx1"/>
            </w14:solidFill>
          </w14:textFill>
        </w:rPr>
        <w:t>202</w:t>
      </w:r>
      <w:r>
        <w:rPr>
          <w:rFonts w:hint="eastAsia" w:ascii="宋体" w:hAnsi="宋体" w:cs="宋体"/>
          <w:bCs/>
          <w:color w:val="000000" w:themeColor="text1"/>
          <w:sz w:val="22"/>
          <w:szCs w:val="22"/>
          <w:highlight w:val="none"/>
          <w:u w:val="single"/>
          <w:lang w:val="en-US" w:eastAsia="zh-CN"/>
          <w14:textFill>
            <w14:solidFill>
              <w14:schemeClr w14:val="tx1"/>
            </w14:solidFill>
          </w14:textFill>
        </w:rPr>
        <w:t>5</w:t>
      </w:r>
      <w:r>
        <w:rPr>
          <w:rFonts w:hint="eastAsia" w:ascii="宋体" w:hAnsi="宋体" w:eastAsia="宋体" w:cs="宋体"/>
          <w:bCs/>
          <w:color w:val="000000" w:themeColor="text1"/>
          <w:sz w:val="22"/>
          <w:szCs w:val="22"/>
          <w:highlight w:val="none"/>
          <w:u w:val="single"/>
          <w14:textFill>
            <w14:solidFill>
              <w14:schemeClr w14:val="tx1"/>
            </w14:solidFill>
          </w14:textFill>
        </w:rPr>
        <w:t>年</w:t>
      </w:r>
      <w:r>
        <w:rPr>
          <w:rFonts w:hint="eastAsia" w:ascii="宋体" w:hAnsi="宋体" w:cs="宋体"/>
          <w:bCs/>
          <w:color w:val="000000" w:themeColor="text1"/>
          <w:sz w:val="22"/>
          <w:szCs w:val="22"/>
          <w:highlight w:val="none"/>
          <w:u w:val="single"/>
          <w:lang w:val="en-US" w:eastAsia="zh-CN"/>
          <w14:textFill>
            <w14:solidFill>
              <w14:schemeClr w14:val="tx1"/>
            </w14:solidFill>
          </w14:textFill>
        </w:rPr>
        <w:t>9</w:t>
      </w:r>
      <w:r>
        <w:rPr>
          <w:rFonts w:hint="eastAsia" w:ascii="宋体" w:hAnsi="宋体" w:eastAsia="宋体" w:cs="宋体"/>
          <w:bCs/>
          <w:color w:val="000000" w:themeColor="text1"/>
          <w:sz w:val="22"/>
          <w:szCs w:val="22"/>
          <w:highlight w:val="none"/>
          <w:u w:val="single"/>
          <w14:textFill>
            <w14:solidFill>
              <w14:schemeClr w14:val="tx1"/>
            </w14:solidFill>
          </w14:textFill>
        </w:rPr>
        <w:t>月</w:t>
      </w:r>
      <w:r>
        <w:rPr>
          <w:rFonts w:hint="eastAsia" w:ascii="宋体" w:hAnsi="宋体" w:cs="宋体"/>
          <w:bCs/>
          <w:color w:val="000000" w:themeColor="text1"/>
          <w:sz w:val="22"/>
          <w:szCs w:val="22"/>
          <w:highlight w:val="none"/>
          <w:u w:val="single"/>
          <w:lang w:val="en-US" w:eastAsia="zh-CN"/>
          <w14:textFill>
            <w14:solidFill>
              <w14:schemeClr w14:val="tx1"/>
            </w14:solidFill>
          </w14:textFill>
        </w:rPr>
        <w:t>18</w:t>
      </w:r>
      <w:r>
        <w:rPr>
          <w:rFonts w:hint="eastAsia" w:ascii="宋体" w:hAnsi="宋体" w:eastAsia="宋体" w:cs="宋体"/>
          <w:bCs/>
          <w:color w:val="000000" w:themeColor="text1"/>
          <w:sz w:val="22"/>
          <w:szCs w:val="22"/>
          <w:highlight w:val="none"/>
          <w:u w:val="single"/>
          <w14:textFill>
            <w14:solidFill>
              <w14:schemeClr w14:val="tx1"/>
            </w14:solidFill>
          </w14:textFill>
        </w:rPr>
        <w:t>日</w:t>
      </w:r>
      <w:r>
        <w:rPr>
          <w:rFonts w:hint="eastAsia" w:ascii="宋体" w:hAnsi="宋体" w:eastAsia="宋体" w:cs="宋体"/>
          <w:bCs/>
          <w:color w:val="auto"/>
          <w:sz w:val="22"/>
          <w:szCs w:val="22"/>
          <w:highlight w:val="none"/>
        </w:rPr>
        <w:t>起在</w:t>
      </w:r>
      <w:r>
        <w:rPr>
          <w:rFonts w:hint="eastAsia" w:ascii="宋体" w:hAnsi="宋体" w:eastAsia="宋体" w:cs="宋体"/>
          <w:color w:val="auto"/>
          <w:sz w:val="22"/>
          <w:szCs w:val="22"/>
          <w:highlight w:val="none"/>
          <w:u w:val="single"/>
        </w:rPr>
        <w:t>重庆九黎旅游控股集团公司网</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http://www.cqjljt.com/Index.shtml</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bCs/>
          <w:color w:val="auto"/>
          <w:sz w:val="22"/>
          <w:szCs w:val="22"/>
          <w:highlight w:val="none"/>
        </w:rPr>
        <w:t>上自行下载本项目比选文件、</w:t>
      </w:r>
      <w:r>
        <w:rPr>
          <w:rFonts w:hint="eastAsia" w:ascii="宋体" w:hAnsi="宋体" w:eastAsia="宋体" w:cs="宋体"/>
          <w:bCs/>
          <w:color w:val="auto"/>
          <w:sz w:val="22"/>
          <w:szCs w:val="22"/>
          <w:highlight w:val="none"/>
          <w:lang w:eastAsia="zh-CN"/>
        </w:rPr>
        <w:t>图纸</w:t>
      </w:r>
      <w:r>
        <w:rPr>
          <w:rFonts w:hint="eastAsia" w:ascii="宋体" w:hAnsi="宋体" w:eastAsia="宋体" w:cs="宋体"/>
          <w:bCs/>
          <w:color w:val="auto"/>
          <w:sz w:val="22"/>
          <w:szCs w:val="22"/>
          <w:highlight w:val="none"/>
        </w:rPr>
        <w:t>、澄清和修改等全部内容，不管下载与否都视为潜在竞选人全部知晓有关全部内容</w:t>
      </w:r>
      <w:r>
        <w:rPr>
          <w:rFonts w:hint="eastAsia" w:ascii="宋体" w:hAnsi="宋体" w:eastAsia="宋体" w:cs="宋体"/>
          <w:color w:val="auto"/>
          <w:sz w:val="22"/>
          <w:szCs w:val="22"/>
          <w:highlight w:val="none"/>
        </w:rPr>
        <w:t>。</w:t>
      </w:r>
    </w:p>
    <w:p w14:paraId="1C85C17C">
      <w:pPr>
        <w:pStyle w:val="6"/>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宋体"/>
          <w:snapToGrid w:val="0"/>
          <w:color w:val="auto"/>
          <w:sz w:val="22"/>
          <w:szCs w:val="22"/>
          <w:highlight w:val="none"/>
        </w:rPr>
      </w:pPr>
      <w:bookmarkStart w:id="14" w:name="_Toc443576767"/>
      <w:r>
        <w:rPr>
          <w:rFonts w:hint="eastAsia" w:ascii="宋体" w:hAnsi="宋体" w:eastAsia="宋体" w:cs="宋体"/>
          <w:snapToGrid w:val="0"/>
          <w:color w:val="auto"/>
          <w:sz w:val="22"/>
          <w:szCs w:val="22"/>
          <w:highlight w:val="none"/>
        </w:rPr>
        <w:t>5.竞选文件递交时间及地点、比选时间</w:t>
      </w:r>
      <w:bookmarkEnd w:id="14"/>
    </w:p>
    <w:p w14:paraId="4BF50176">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color w:val="auto"/>
          <w:kern w:val="0"/>
          <w:sz w:val="22"/>
          <w:szCs w:val="22"/>
          <w:highlight w:val="none"/>
          <w:lang w:eastAsia="zh-CN"/>
        </w:rPr>
      </w:pPr>
      <w:bookmarkStart w:id="15" w:name="_Toc443576768"/>
      <w:r>
        <w:rPr>
          <w:rFonts w:hint="eastAsia" w:ascii="宋体" w:hAnsi="宋体" w:eastAsia="宋体" w:cs="宋体"/>
          <w:color w:val="auto"/>
          <w:kern w:val="0"/>
          <w:sz w:val="22"/>
          <w:szCs w:val="22"/>
          <w:highlight w:val="none"/>
        </w:rPr>
        <w:t>5.1 竞选文件递交时间</w:t>
      </w:r>
      <w:r>
        <w:rPr>
          <w:rFonts w:hint="eastAsia" w:ascii="宋体" w:hAnsi="宋体" w:eastAsia="宋体" w:cs="宋体"/>
          <w:color w:val="000000" w:themeColor="text1"/>
          <w:kern w:val="0"/>
          <w:sz w:val="22"/>
          <w:szCs w:val="22"/>
          <w:highlight w:val="none"/>
          <w14:textFill>
            <w14:solidFill>
              <w14:schemeClr w14:val="tx1"/>
            </w14:solidFill>
          </w14:textFill>
        </w:rPr>
        <w:t>为</w:t>
      </w:r>
      <w:r>
        <w:rPr>
          <w:rFonts w:hint="eastAsia" w:ascii="宋体" w:hAnsi="宋体" w:eastAsia="宋体" w:cs="宋体"/>
          <w:color w:val="000000" w:themeColor="text1"/>
          <w:kern w:val="0"/>
          <w:sz w:val="22"/>
          <w:szCs w:val="22"/>
          <w:highlight w:val="none"/>
          <w:u w:val="single"/>
          <w14:textFill>
            <w14:solidFill>
              <w14:schemeClr w14:val="tx1"/>
            </w14:solidFill>
          </w14:textFill>
        </w:rPr>
        <w:t>202</w:t>
      </w:r>
      <w:r>
        <w:rPr>
          <w:rFonts w:hint="eastAsia" w:ascii="宋体" w:hAnsi="宋体" w:cs="宋体"/>
          <w:color w:val="000000" w:themeColor="text1"/>
          <w:kern w:val="0"/>
          <w:sz w:val="22"/>
          <w:szCs w:val="22"/>
          <w:highlight w:val="none"/>
          <w:u w:val="single"/>
          <w:lang w:val="en-US" w:eastAsia="zh-CN"/>
          <w14:textFill>
            <w14:solidFill>
              <w14:schemeClr w14:val="tx1"/>
            </w14:solidFill>
          </w14:textFill>
        </w:rPr>
        <w:t>5</w:t>
      </w:r>
      <w:r>
        <w:rPr>
          <w:rFonts w:hint="eastAsia" w:ascii="宋体" w:hAnsi="宋体" w:eastAsia="宋体" w:cs="宋体"/>
          <w:color w:val="000000" w:themeColor="text1"/>
          <w:kern w:val="0"/>
          <w:sz w:val="22"/>
          <w:szCs w:val="22"/>
          <w:highlight w:val="none"/>
          <w:u w:val="single"/>
          <w14:textFill>
            <w14:solidFill>
              <w14:schemeClr w14:val="tx1"/>
            </w14:solidFill>
          </w14:textFill>
        </w:rPr>
        <w:t>年</w:t>
      </w:r>
      <w:r>
        <w:rPr>
          <w:rFonts w:hint="eastAsia" w:ascii="宋体" w:hAnsi="宋体" w:cs="宋体"/>
          <w:color w:val="000000" w:themeColor="text1"/>
          <w:kern w:val="0"/>
          <w:sz w:val="22"/>
          <w:szCs w:val="22"/>
          <w:highlight w:val="none"/>
          <w:u w:val="single"/>
          <w:lang w:val="en-US" w:eastAsia="zh-CN"/>
          <w14:textFill>
            <w14:solidFill>
              <w14:schemeClr w14:val="tx1"/>
            </w14:solidFill>
          </w14:textFill>
        </w:rPr>
        <w:t>9</w:t>
      </w:r>
      <w:r>
        <w:rPr>
          <w:rFonts w:hint="eastAsia" w:ascii="宋体" w:hAnsi="宋体" w:eastAsia="宋体" w:cs="宋体"/>
          <w:color w:val="000000" w:themeColor="text1"/>
          <w:kern w:val="0"/>
          <w:sz w:val="22"/>
          <w:szCs w:val="22"/>
          <w:highlight w:val="none"/>
          <w:u w:val="single"/>
          <w14:textFill>
            <w14:solidFill>
              <w14:schemeClr w14:val="tx1"/>
            </w14:solidFill>
          </w14:textFill>
        </w:rPr>
        <w:t>月</w:t>
      </w:r>
      <w:r>
        <w:rPr>
          <w:rFonts w:hint="eastAsia" w:ascii="宋体" w:hAnsi="宋体" w:cs="宋体"/>
          <w:color w:val="000000" w:themeColor="text1"/>
          <w:kern w:val="0"/>
          <w:sz w:val="22"/>
          <w:szCs w:val="22"/>
          <w:highlight w:val="none"/>
          <w:u w:val="single"/>
          <w:lang w:val="en-US" w:eastAsia="zh-CN"/>
          <w14:textFill>
            <w14:solidFill>
              <w14:schemeClr w14:val="tx1"/>
            </w14:solidFill>
          </w14:textFill>
        </w:rPr>
        <w:t>23</w:t>
      </w:r>
      <w:r>
        <w:rPr>
          <w:rFonts w:hint="eastAsia" w:ascii="宋体" w:hAnsi="宋体" w:eastAsia="宋体" w:cs="宋体"/>
          <w:bCs/>
          <w:color w:val="000000" w:themeColor="text1"/>
          <w:sz w:val="22"/>
          <w:szCs w:val="22"/>
          <w:highlight w:val="none"/>
          <w:u w:val="single"/>
          <w14:textFill>
            <w14:solidFill>
              <w14:schemeClr w14:val="tx1"/>
            </w14:solidFill>
          </w14:textFill>
        </w:rPr>
        <w:t>日</w:t>
      </w:r>
      <w:r>
        <w:rPr>
          <w:rFonts w:hint="eastAsia" w:ascii="宋体" w:hAnsi="宋体" w:cs="宋体"/>
          <w:bCs/>
          <w:color w:val="000000" w:themeColor="text1"/>
          <w:sz w:val="22"/>
          <w:szCs w:val="22"/>
          <w:highlight w:val="none"/>
          <w:u w:val="single"/>
          <w:lang w:val="en-US" w:eastAsia="zh-CN"/>
          <w14:textFill>
            <w14:solidFill>
              <w14:schemeClr w14:val="tx1"/>
            </w14:solidFill>
          </w14:textFill>
        </w:rPr>
        <w:t>10</w:t>
      </w:r>
      <w:r>
        <w:rPr>
          <w:rFonts w:hint="eastAsia" w:ascii="宋体" w:hAnsi="宋体" w:eastAsia="宋体" w:cs="宋体"/>
          <w:bCs/>
          <w:color w:val="000000" w:themeColor="text1"/>
          <w:sz w:val="22"/>
          <w:szCs w:val="22"/>
          <w:highlight w:val="none"/>
          <w:u w:val="single"/>
          <w14:textFill>
            <w14:solidFill>
              <w14:schemeClr w14:val="tx1"/>
            </w14:solidFill>
          </w14:textFill>
        </w:rPr>
        <w:t>时</w:t>
      </w:r>
      <w:r>
        <w:rPr>
          <w:rFonts w:hint="eastAsia" w:ascii="宋体" w:hAnsi="宋体" w:cs="宋体"/>
          <w:bCs/>
          <w:color w:val="000000" w:themeColor="text1"/>
          <w:sz w:val="22"/>
          <w:szCs w:val="22"/>
          <w:highlight w:val="none"/>
          <w:u w:val="single"/>
          <w:lang w:val="en-US" w:eastAsia="zh-CN"/>
          <w14:textFill>
            <w14:solidFill>
              <w14:schemeClr w14:val="tx1"/>
            </w14:solidFill>
          </w14:textFill>
        </w:rPr>
        <w:t>00</w:t>
      </w:r>
      <w:r>
        <w:rPr>
          <w:rFonts w:hint="eastAsia" w:ascii="宋体" w:hAnsi="宋体" w:eastAsia="宋体" w:cs="宋体"/>
          <w:bCs/>
          <w:color w:val="000000" w:themeColor="text1"/>
          <w:sz w:val="22"/>
          <w:szCs w:val="22"/>
          <w:highlight w:val="none"/>
          <w:u w:val="single"/>
          <w14:textFill>
            <w14:solidFill>
              <w14:schemeClr w14:val="tx1"/>
            </w14:solidFill>
          </w14:textFill>
        </w:rPr>
        <w:t>分</w:t>
      </w:r>
      <w:r>
        <w:rPr>
          <w:rFonts w:hint="eastAsia" w:ascii="宋体" w:hAnsi="宋体" w:eastAsia="宋体" w:cs="宋体"/>
          <w:bCs/>
          <w:color w:val="auto"/>
          <w:sz w:val="22"/>
          <w:szCs w:val="22"/>
          <w:highlight w:val="none"/>
          <w:u w:val="single"/>
        </w:rPr>
        <w:t>至</w:t>
      </w:r>
      <w:r>
        <w:rPr>
          <w:rFonts w:hint="eastAsia" w:ascii="宋体" w:hAnsi="宋体" w:cs="宋体"/>
          <w:bCs/>
          <w:color w:val="auto"/>
          <w:sz w:val="22"/>
          <w:szCs w:val="22"/>
          <w:highlight w:val="none"/>
          <w:u w:val="single"/>
          <w:lang w:val="en-US" w:eastAsia="zh-CN"/>
        </w:rPr>
        <w:t>10</w:t>
      </w:r>
      <w:r>
        <w:rPr>
          <w:rFonts w:hint="eastAsia" w:ascii="宋体" w:hAnsi="宋体" w:eastAsia="宋体" w:cs="宋体"/>
          <w:bCs/>
          <w:color w:val="auto"/>
          <w:sz w:val="22"/>
          <w:szCs w:val="22"/>
          <w:highlight w:val="none"/>
          <w:u w:val="single"/>
        </w:rPr>
        <w:t>时</w:t>
      </w:r>
      <w:r>
        <w:rPr>
          <w:rFonts w:hint="eastAsia" w:ascii="宋体" w:hAnsi="宋体" w:cs="宋体"/>
          <w:bCs/>
          <w:color w:val="auto"/>
          <w:sz w:val="22"/>
          <w:szCs w:val="22"/>
          <w:highlight w:val="none"/>
          <w:u w:val="single"/>
          <w:lang w:val="en-US" w:eastAsia="zh-CN"/>
        </w:rPr>
        <w:t>30</w:t>
      </w:r>
      <w:r>
        <w:rPr>
          <w:rFonts w:hint="eastAsia" w:ascii="宋体" w:hAnsi="宋体" w:eastAsia="宋体" w:cs="宋体"/>
          <w:color w:val="auto"/>
          <w:kern w:val="0"/>
          <w:sz w:val="22"/>
          <w:szCs w:val="22"/>
          <w:highlight w:val="none"/>
          <w:u w:val="single"/>
        </w:rPr>
        <w:t>分</w:t>
      </w:r>
      <w:r>
        <w:rPr>
          <w:rFonts w:hint="eastAsia" w:ascii="宋体" w:hAnsi="宋体" w:eastAsia="宋体" w:cs="宋体"/>
          <w:color w:val="auto"/>
          <w:kern w:val="0"/>
          <w:sz w:val="22"/>
          <w:szCs w:val="22"/>
          <w:highlight w:val="none"/>
          <w:lang w:eastAsia="zh-CN"/>
        </w:rPr>
        <w:t>。</w:t>
      </w:r>
    </w:p>
    <w:p w14:paraId="67319B14">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 xml:space="preserve">5.2 </w:t>
      </w:r>
      <w:r>
        <w:rPr>
          <w:rFonts w:hint="eastAsia" w:ascii="宋体" w:hAnsi="宋体" w:eastAsia="宋体" w:cs="宋体"/>
          <w:color w:val="auto"/>
          <w:kern w:val="0"/>
          <w:sz w:val="22"/>
          <w:szCs w:val="22"/>
          <w:highlight w:val="none"/>
        </w:rPr>
        <w:t>地点为</w:t>
      </w:r>
      <w:bookmarkStart w:id="16" w:name="开标地点"/>
      <w:r>
        <w:rPr>
          <w:rFonts w:hint="eastAsia" w:ascii="宋体" w:hAnsi="宋体" w:cs="宋体"/>
          <w:color w:val="auto"/>
          <w:sz w:val="22"/>
          <w:szCs w:val="22"/>
          <w:highlight w:val="none"/>
          <w:lang w:eastAsia="zh-CN"/>
        </w:rPr>
        <w:t>彭水九黎文化旅游投资有限公司</w:t>
      </w:r>
      <w:r>
        <w:rPr>
          <w:rFonts w:hint="eastAsia" w:ascii="宋体" w:hAnsi="宋体" w:eastAsia="宋体" w:cs="宋体"/>
          <w:color w:val="auto"/>
          <w:sz w:val="22"/>
          <w:szCs w:val="22"/>
          <w:highlight w:val="none"/>
        </w:rPr>
        <w:t>（</w:t>
      </w:r>
      <w:r>
        <w:rPr>
          <w:rFonts w:hint="eastAsia" w:ascii="宋体" w:hAnsi="宋体" w:cs="宋体"/>
          <w:snapToGrid w:val="0"/>
          <w:color w:val="auto"/>
          <w:sz w:val="22"/>
          <w:szCs w:val="22"/>
          <w:highlight w:val="none"/>
          <w:u w:val="none"/>
          <w:lang w:eastAsia="zh-CN"/>
        </w:rPr>
        <w:t>重庆市彭水县靛水街道张家坝社区一组</w:t>
      </w: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rPr>
        <w:t>，具体请登陆</w:t>
      </w:r>
      <w:r>
        <w:rPr>
          <w:rFonts w:hint="eastAsia" w:ascii="宋体" w:hAnsi="宋体" w:eastAsia="宋体" w:cs="宋体"/>
          <w:color w:val="auto"/>
          <w:sz w:val="22"/>
          <w:szCs w:val="22"/>
          <w:highlight w:val="none"/>
          <w:u w:val="single"/>
        </w:rPr>
        <w:t>重庆九黎旅游控股集团公司网</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http://www.cqjljt.com/Index.shtml</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kern w:val="0"/>
          <w:sz w:val="22"/>
          <w:szCs w:val="22"/>
          <w:highlight w:val="none"/>
        </w:rPr>
        <w:t>查询</w:t>
      </w:r>
      <w:bookmarkEnd w:id="16"/>
      <w:r>
        <w:rPr>
          <w:rFonts w:hint="eastAsia" w:ascii="宋体" w:hAnsi="宋体" w:eastAsia="宋体" w:cs="宋体"/>
          <w:color w:val="auto"/>
          <w:kern w:val="0"/>
          <w:sz w:val="22"/>
          <w:szCs w:val="22"/>
          <w:highlight w:val="none"/>
        </w:rPr>
        <w:t>；逾期送达的或者未送达指定地点的竞选文件，比选人及比选代理机构不予受理。</w:t>
      </w:r>
    </w:p>
    <w:p w14:paraId="3226E8CC">
      <w:pPr>
        <w:pStyle w:val="6"/>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5.</w:t>
      </w:r>
      <w:r>
        <w:rPr>
          <w:rFonts w:hint="eastAsia" w:ascii="宋体" w:hAnsi="宋体" w:eastAsia="宋体" w:cs="宋体"/>
          <w:b w:val="0"/>
          <w:bCs/>
          <w:color w:val="auto"/>
          <w:kern w:val="2"/>
          <w:sz w:val="22"/>
          <w:szCs w:val="22"/>
          <w:highlight w:val="none"/>
          <w:lang w:val="en-US" w:eastAsia="zh-CN"/>
        </w:rPr>
        <w:t>3</w:t>
      </w:r>
      <w:r>
        <w:rPr>
          <w:rFonts w:hint="eastAsia" w:ascii="宋体" w:hAnsi="宋体" w:eastAsia="宋体" w:cs="宋体"/>
          <w:b w:val="0"/>
          <w:bCs/>
          <w:color w:val="auto"/>
          <w:kern w:val="2"/>
          <w:sz w:val="22"/>
          <w:szCs w:val="22"/>
          <w:highlight w:val="none"/>
        </w:rPr>
        <w:t xml:space="preserve"> 比选时间为递交竞选文件截止时间。</w:t>
      </w:r>
    </w:p>
    <w:p w14:paraId="626CB84F">
      <w:pPr>
        <w:pStyle w:val="6"/>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6.</w:t>
      </w:r>
      <w:bookmarkEnd w:id="15"/>
      <w:r>
        <w:rPr>
          <w:rFonts w:hint="eastAsia" w:ascii="宋体" w:hAnsi="宋体" w:eastAsia="宋体" w:cs="宋体"/>
          <w:snapToGrid w:val="0"/>
          <w:color w:val="auto"/>
          <w:sz w:val="22"/>
          <w:szCs w:val="22"/>
          <w:highlight w:val="none"/>
        </w:rPr>
        <w:t>比选公告的发布</w:t>
      </w:r>
    </w:p>
    <w:p w14:paraId="59D83154">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6.1 本公告将在</w:t>
      </w:r>
      <w:r>
        <w:rPr>
          <w:rFonts w:hint="eastAsia" w:ascii="宋体" w:hAnsi="宋体" w:eastAsia="宋体" w:cs="宋体"/>
          <w:color w:val="auto"/>
          <w:sz w:val="22"/>
          <w:szCs w:val="22"/>
          <w:highlight w:val="none"/>
          <w:u w:val="single"/>
        </w:rPr>
        <w:t>重庆九黎旅游控股集团公司网</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http://www.cqjljt.com/Index.shtml</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bCs/>
          <w:color w:val="auto"/>
          <w:sz w:val="22"/>
          <w:szCs w:val="22"/>
          <w:highlight w:val="none"/>
        </w:rPr>
        <w:t>发布。</w:t>
      </w:r>
    </w:p>
    <w:p w14:paraId="6FB6BC73">
      <w:pPr>
        <w:rPr>
          <w:rFonts w:hint="eastAsia" w:ascii="宋体" w:hAnsi="宋体" w:eastAsia="宋体" w:cs="宋体"/>
          <w:snapToGrid w:val="0"/>
          <w:color w:val="auto"/>
          <w:sz w:val="22"/>
          <w:szCs w:val="22"/>
          <w:highlight w:val="none"/>
        </w:rPr>
      </w:pPr>
      <w:bookmarkStart w:id="17" w:name="_Toc443576769"/>
      <w:r>
        <w:rPr>
          <w:rFonts w:hint="eastAsia" w:ascii="宋体" w:hAnsi="宋体" w:eastAsia="宋体" w:cs="宋体"/>
          <w:snapToGrid w:val="0"/>
          <w:color w:val="auto"/>
          <w:sz w:val="22"/>
          <w:szCs w:val="22"/>
          <w:highlight w:val="none"/>
        </w:rPr>
        <w:br w:type="page"/>
      </w:r>
    </w:p>
    <w:p w14:paraId="55F9B958">
      <w:pPr>
        <w:rPr>
          <w:rFonts w:hint="eastAsia"/>
        </w:rPr>
      </w:pPr>
    </w:p>
    <w:p w14:paraId="051717EF">
      <w:pPr>
        <w:pStyle w:val="6"/>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7.联系方式</w:t>
      </w:r>
      <w:bookmarkEnd w:id="17"/>
    </w:p>
    <w:p w14:paraId="63986A6D">
      <w:pPr>
        <w:keepNext w:val="0"/>
        <w:keepLines w:val="0"/>
        <w:pageBreakBefore w:val="0"/>
        <w:tabs>
          <w:tab w:val="left" w:pos="8520"/>
        </w:tabs>
        <w:kinsoku/>
        <w:wordWrap/>
        <w:overflowPunct/>
        <w:topLinePunct w:val="0"/>
        <w:autoSpaceDE w:val="0"/>
        <w:autoSpaceDN w:val="0"/>
        <w:bidi w:val="0"/>
        <w:adjustRightInd w:val="0"/>
        <w:snapToGrid w:val="0"/>
        <w:spacing w:line="360" w:lineRule="auto"/>
        <w:ind w:firstLine="440" w:firstLineChars="20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snapToGrid w:val="0"/>
          <w:color w:val="auto"/>
          <w:kern w:val="0"/>
          <w:sz w:val="22"/>
          <w:szCs w:val="22"/>
          <w:highlight w:val="none"/>
        </w:rPr>
        <w:t>比 选 人：</w:t>
      </w:r>
      <w:r>
        <w:rPr>
          <w:rFonts w:hint="eastAsia" w:ascii="宋体" w:hAnsi="宋体" w:cs="宋体"/>
          <w:color w:val="auto"/>
          <w:sz w:val="22"/>
          <w:szCs w:val="22"/>
          <w:highlight w:val="none"/>
          <w:lang w:eastAsia="zh-CN"/>
        </w:rPr>
        <w:t>彭水九黎文化旅游投资有限公司</w:t>
      </w:r>
    </w:p>
    <w:p w14:paraId="47838AFC">
      <w:pPr>
        <w:keepNext w:val="0"/>
        <w:keepLines w:val="0"/>
        <w:pageBreakBefore w:val="0"/>
        <w:tabs>
          <w:tab w:val="left" w:pos="8520"/>
        </w:tabs>
        <w:kinsoku/>
        <w:wordWrap/>
        <w:overflowPunct/>
        <w:topLinePunct w:val="0"/>
        <w:autoSpaceDE w:val="0"/>
        <w:autoSpaceDN w:val="0"/>
        <w:bidi w:val="0"/>
        <w:adjustRightInd w:val="0"/>
        <w:snapToGrid w:val="0"/>
        <w:spacing w:line="360" w:lineRule="auto"/>
        <w:ind w:firstLine="440" w:firstLineChars="200"/>
        <w:jc w:val="left"/>
        <w:textAlignment w:val="auto"/>
        <w:rPr>
          <w:rFonts w:hint="eastAsia" w:ascii="宋体" w:hAnsi="宋体" w:eastAsia="宋体" w:cs="宋体"/>
          <w:snapToGrid w:val="0"/>
          <w:color w:val="auto"/>
          <w:sz w:val="22"/>
          <w:szCs w:val="22"/>
          <w:highlight w:val="none"/>
          <w:u w:val="none"/>
          <w:lang w:val="en-US" w:eastAsia="zh-CN"/>
        </w:rPr>
      </w:pPr>
      <w:r>
        <w:rPr>
          <w:rFonts w:hint="eastAsia" w:ascii="宋体" w:hAnsi="宋体" w:eastAsia="宋体" w:cs="宋体"/>
          <w:snapToGrid w:val="0"/>
          <w:color w:val="auto"/>
          <w:kern w:val="0"/>
          <w:sz w:val="22"/>
          <w:szCs w:val="22"/>
          <w:highlight w:val="none"/>
        </w:rPr>
        <w:t>地    址：</w:t>
      </w:r>
      <w:r>
        <w:rPr>
          <w:rFonts w:hint="eastAsia" w:ascii="宋体" w:hAnsi="宋体" w:cs="宋体"/>
          <w:snapToGrid w:val="0"/>
          <w:color w:val="auto"/>
          <w:sz w:val="22"/>
          <w:szCs w:val="22"/>
          <w:highlight w:val="none"/>
          <w:u w:val="none"/>
          <w:lang w:eastAsia="zh-CN"/>
        </w:rPr>
        <w:t>重庆市彭水县靛水街道张家坝社区一组</w:t>
      </w:r>
    </w:p>
    <w:p w14:paraId="5C1D4746">
      <w:pPr>
        <w:keepNext w:val="0"/>
        <w:keepLines w:val="0"/>
        <w:pageBreakBefore w:val="0"/>
        <w:tabs>
          <w:tab w:val="left" w:pos="8520"/>
        </w:tabs>
        <w:kinsoku/>
        <w:wordWrap/>
        <w:overflowPunct/>
        <w:topLinePunct w:val="0"/>
        <w:autoSpaceDE w:val="0"/>
        <w:autoSpaceDN w:val="0"/>
        <w:bidi w:val="0"/>
        <w:adjustRightInd w:val="0"/>
        <w:snapToGrid w:val="0"/>
        <w:spacing w:line="360" w:lineRule="auto"/>
        <w:ind w:firstLine="440" w:firstLineChars="200"/>
        <w:jc w:val="left"/>
        <w:textAlignment w:val="auto"/>
        <w:rPr>
          <w:rFonts w:hint="default" w:ascii="宋体" w:hAnsi="宋体" w:eastAsia="宋体" w:cs="宋体"/>
          <w:snapToGrid w:val="0"/>
          <w:color w:val="auto"/>
          <w:sz w:val="22"/>
          <w:szCs w:val="22"/>
          <w:highlight w:val="none"/>
          <w:u w:val="none"/>
          <w:lang w:val="en-US" w:eastAsia="zh-CN"/>
        </w:rPr>
      </w:pPr>
      <w:r>
        <w:rPr>
          <w:rFonts w:hint="eastAsia" w:ascii="宋体" w:hAnsi="宋体" w:eastAsia="宋体" w:cs="宋体"/>
          <w:snapToGrid w:val="0"/>
          <w:color w:val="auto"/>
          <w:sz w:val="22"/>
          <w:szCs w:val="22"/>
          <w:highlight w:val="none"/>
          <w:u w:val="none"/>
        </w:rPr>
        <w:t>联 系 人：</w:t>
      </w:r>
      <w:r>
        <w:rPr>
          <w:rFonts w:hint="eastAsia" w:ascii="宋体" w:hAnsi="宋体" w:cs="宋体"/>
          <w:snapToGrid w:val="0"/>
          <w:color w:val="auto"/>
          <w:sz w:val="22"/>
          <w:szCs w:val="22"/>
          <w:highlight w:val="none"/>
          <w:u w:val="none"/>
          <w:lang w:val="en-US" w:eastAsia="zh-CN"/>
        </w:rPr>
        <w:t>曾老师</w:t>
      </w:r>
    </w:p>
    <w:p w14:paraId="6C340375">
      <w:pPr>
        <w:keepNext w:val="0"/>
        <w:keepLines w:val="0"/>
        <w:pageBreakBefore w:val="0"/>
        <w:tabs>
          <w:tab w:val="left" w:pos="8520"/>
        </w:tabs>
        <w:kinsoku/>
        <w:wordWrap/>
        <w:overflowPunct/>
        <w:topLinePunct w:val="0"/>
        <w:autoSpaceDE w:val="0"/>
        <w:autoSpaceDN w:val="0"/>
        <w:bidi w:val="0"/>
        <w:adjustRightInd w:val="0"/>
        <w:snapToGrid w:val="0"/>
        <w:spacing w:line="360" w:lineRule="auto"/>
        <w:ind w:firstLine="440" w:firstLineChars="200"/>
        <w:jc w:val="left"/>
        <w:textAlignment w:val="auto"/>
        <w:rPr>
          <w:rFonts w:hint="default" w:ascii="宋体" w:hAnsi="宋体" w:eastAsia="宋体" w:cs="宋体"/>
          <w:snapToGrid w:val="0"/>
          <w:color w:val="auto"/>
          <w:sz w:val="22"/>
          <w:szCs w:val="22"/>
          <w:highlight w:val="none"/>
          <w:u w:val="none"/>
          <w:lang w:val="en-US" w:eastAsia="zh-CN"/>
        </w:rPr>
      </w:pPr>
      <w:r>
        <w:rPr>
          <w:rFonts w:hint="eastAsia" w:ascii="宋体" w:hAnsi="宋体" w:eastAsia="宋体" w:cs="宋体"/>
          <w:snapToGrid w:val="0"/>
          <w:color w:val="auto"/>
          <w:sz w:val="22"/>
          <w:szCs w:val="22"/>
          <w:highlight w:val="none"/>
          <w:u w:val="none"/>
        </w:rPr>
        <w:t>联系电话：</w:t>
      </w:r>
      <w:r>
        <w:rPr>
          <w:rFonts w:hint="eastAsia" w:ascii="宋体" w:hAnsi="宋体" w:cs="宋体"/>
          <w:snapToGrid w:val="0"/>
          <w:color w:val="auto"/>
          <w:sz w:val="22"/>
          <w:szCs w:val="22"/>
          <w:highlight w:val="none"/>
          <w:u w:val="none"/>
          <w:lang w:val="en-US" w:eastAsia="zh-CN"/>
        </w:rPr>
        <w:t>18182393708</w:t>
      </w:r>
    </w:p>
    <w:p w14:paraId="3BAD9334">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比选代理机构：</w:t>
      </w:r>
      <w:r>
        <w:rPr>
          <w:rFonts w:hint="eastAsia" w:ascii="宋体" w:hAnsi="宋体" w:cs="宋体"/>
          <w:color w:val="auto"/>
          <w:sz w:val="22"/>
          <w:szCs w:val="22"/>
          <w:highlight w:val="none"/>
          <w:lang w:eastAsia="zh-CN"/>
        </w:rPr>
        <w:t>重庆四建季峰工程咨询有限公司</w:t>
      </w:r>
    </w:p>
    <w:p w14:paraId="09BBCBBF">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地址：</w:t>
      </w:r>
      <w:r>
        <w:rPr>
          <w:rFonts w:hint="eastAsia" w:ascii="Helvetica" w:hAnsi="Helvetica" w:cs="Helvetica"/>
          <w:i w:val="0"/>
          <w:iCs w:val="0"/>
          <w:caps w:val="0"/>
          <w:color w:val="auto"/>
          <w:spacing w:val="0"/>
          <w:sz w:val="22"/>
          <w:szCs w:val="22"/>
          <w:highlight w:val="none"/>
          <w:shd w:val="clear" w:color="auto" w:fill="FFFFFF"/>
          <w:lang w:eastAsia="zh-CN"/>
        </w:rPr>
        <w:t>彭水苗族土家族自治县汉葭街道文庙社区黔中路73号</w:t>
      </w:r>
    </w:p>
    <w:p w14:paraId="11FBA6DA">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联系人：</w:t>
      </w:r>
      <w:r>
        <w:rPr>
          <w:rFonts w:hint="eastAsia" w:ascii="宋体" w:hAnsi="宋体" w:eastAsia="宋体" w:cs="宋体"/>
          <w:color w:val="auto"/>
          <w:sz w:val="22"/>
          <w:szCs w:val="22"/>
          <w:highlight w:val="none"/>
          <w:lang w:val="en-US" w:eastAsia="zh-CN"/>
        </w:rPr>
        <w:t>冉老师</w:t>
      </w:r>
    </w:p>
    <w:p w14:paraId="7B19D59B">
      <w:pPr>
        <w:pStyle w:val="2"/>
        <w:keepNext w:val="0"/>
        <w:keepLines w:val="0"/>
        <w:pageBreakBefore w:val="0"/>
        <w:kinsoku/>
        <w:wordWrap/>
        <w:overflowPunct/>
        <w:topLinePunct w:val="0"/>
        <w:bidi w:val="0"/>
        <w:spacing w:line="360" w:lineRule="auto"/>
        <w:ind w:firstLine="440" w:firstLineChars="200"/>
        <w:textAlignment w:val="auto"/>
        <w:rPr>
          <w:rFonts w:hint="default"/>
          <w:color w:val="auto"/>
          <w:sz w:val="28"/>
          <w:szCs w:val="28"/>
          <w:highlight w:val="none"/>
          <w:lang w:val="en-US" w:eastAsia="zh-CN"/>
        </w:rPr>
      </w:pPr>
      <w:r>
        <w:rPr>
          <w:rFonts w:hint="eastAsia" w:ascii="宋体" w:hAnsi="宋体" w:eastAsia="宋体" w:cs="宋体"/>
          <w:color w:val="auto"/>
          <w:sz w:val="22"/>
          <w:szCs w:val="22"/>
          <w:highlight w:val="none"/>
          <w:lang w:val="en-US" w:eastAsia="zh-CN"/>
        </w:rPr>
        <w:t>电话：</w:t>
      </w:r>
      <w:r>
        <w:rPr>
          <w:rFonts w:hint="eastAsia" w:ascii="宋体" w:hAnsi="宋体" w:cs="宋体"/>
          <w:color w:val="auto"/>
          <w:sz w:val="22"/>
          <w:szCs w:val="22"/>
          <w:highlight w:val="none"/>
          <w:lang w:val="en-US" w:eastAsia="zh-CN"/>
        </w:rPr>
        <w:t>19923076393</w:t>
      </w:r>
    </w:p>
    <w:p w14:paraId="59C5FBE3">
      <w:pPr>
        <w:pStyle w:val="2"/>
        <w:keepNext w:val="0"/>
        <w:keepLines w:val="0"/>
        <w:pageBreakBefore w:val="0"/>
        <w:kinsoku/>
        <w:wordWrap/>
        <w:overflowPunct/>
        <w:topLinePunct w:val="0"/>
        <w:bidi w:val="0"/>
        <w:spacing w:line="360" w:lineRule="auto"/>
        <w:ind w:firstLine="560" w:firstLineChars="200"/>
        <w:textAlignment w:val="auto"/>
        <w:rPr>
          <w:rFonts w:hint="default"/>
          <w:sz w:val="28"/>
          <w:szCs w:val="28"/>
          <w:highlight w:val="none"/>
          <w:lang w:val="en-US" w:eastAsia="zh-CN"/>
        </w:rPr>
      </w:pPr>
    </w:p>
    <w:p w14:paraId="53408CF6">
      <w:pPr>
        <w:pStyle w:val="4"/>
        <w:keepNext w:val="0"/>
        <w:keepLines w:val="0"/>
        <w:pageBreakBefore/>
        <w:widowControl w:val="0"/>
        <w:numPr>
          <w:ilvl w:val="0"/>
          <w:numId w:val="0"/>
        </w:numPr>
        <w:kinsoku/>
        <w:wordWrap/>
        <w:overflowPunct/>
        <w:topLinePunct w:val="0"/>
        <w:autoSpaceDE w:val="0"/>
        <w:autoSpaceDN w:val="0"/>
        <w:bidi w:val="0"/>
        <w:adjustRightInd w:val="0"/>
        <w:snapToGrid w:val="0"/>
        <w:ind w:firstLine="3614" w:firstLineChars="1000"/>
        <w:jc w:val="left"/>
        <w:textAlignment w:val="auto"/>
        <w:rPr>
          <w:rFonts w:hint="eastAsia"/>
          <w:color w:val="auto"/>
          <w:sz w:val="36"/>
          <w:szCs w:val="36"/>
          <w:highlight w:val="none"/>
        </w:rPr>
      </w:pPr>
      <w:bookmarkStart w:id="18" w:name="_Toc12709"/>
      <w:r>
        <w:rPr>
          <w:rFonts w:hint="eastAsia"/>
          <w:color w:val="auto"/>
          <w:sz w:val="36"/>
          <w:szCs w:val="36"/>
          <w:highlight w:val="none"/>
          <w:lang w:val="en-US" w:eastAsia="zh-CN"/>
        </w:rPr>
        <w:t xml:space="preserve">第二章 </w:t>
      </w:r>
      <w:r>
        <w:rPr>
          <w:rFonts w:hint="eastAsia"/>
          <w:color w:val="auto"/>
          <w:sz w:val="36"/>
          <w:szCs w:val="36"/>
          <w:highlight w:val="none"/>
        </w:rPr>
        <w:t>竞选人须知</w:t>
      </w:r>
      <w:bookmarkEnd w:id="8"/>
      <w:bookmarkEnd w:id="9"/>
      <w:bookmarkEnd w:id="18"/>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97"/>
        <w:gridCol w:w="6662"/>
      </w:tblGrid>
      <w:tr w14:paraId="7F18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trPr>
        <w:tc>
          <w:tcPr>
            <w:tcW w:w="1188" w:type="dxa"/>
            <w:noWrap w:val="0"/>
            <w:vAlign w:val="center"/>
          </w:tcPr>
          <w:p w14:paraId="54B2B121">
            <w:pPr>
              <w:snapToGrid w:val="0"/>
              <w:spacing w:line="42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条 款 号</w:t>
            </w:r>
          </w:p>
        </w:tc>
        <w:tc>
          <w:tcPr>
            <w:tcW w:w="1897" w:type="dxa"/>
            <w:noWrap w:val="0"/>
            <w:vAlign w:val="center"/>
          </w:tcPr>
          <w:p w14:paraId="65C5A0F1">
            <w:pPr>
              <w:snapToGrid w:val="0"/>
              <w:spacing w:line="42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6662" w:type="dxa"/>
            <w:noWrap w:val="0"/>
            <w:vAlign w:val="center"/>
          </w:tcPr>
          <w:p w14:paraId="6949EBEF">
            <w:pPr>
              <w:snapToGrid w:val="0"/>
              <w:spacing w:line="42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14:paraId="4214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777C37F0">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897" w:type="dxa"/>
            <w:noWrap w:val="0"/>
            <w:vAlign w:val="center"/>
          </w:tcPr>
          <w:p w14:paraId="25A03DE4">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比选人</w:t>
            </w:r>
          </w:p>
        </w:tc>
        <w:tc>
          <w:tcPr>
            <w:tcW w:w="6662" w:type="dxa"/>
            <w:noWrap w:val="0"/>
            <w:vAlign w:val="center"/>
          </w:tcPr>
          <w:p w14:paraId="352EB8F9">
            <w:pPr>
              <w:tabs>
                <w:tab w:val="left" w:pos="8520"/>
              </w:tabs>
              <w:autoSpaceDE w:val="0"/>
              <w:autoSpaceDN w:val="0"/>
              <w:adjustRightInd w:val="0"/>
              <w:snapToGrid w:val="0"/>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snapToGrid w:val="0"/>
                <w:color w:val="auto"/>
                <w:kern w:val="0"/>
                <w:sz w:val="21"/>
                <w:szCs w:val="21"/>
                <w:highlight w:val="none"/>
              </w:rPr>
              <w:t>比 选 人：</w:t>
            </w:r>
            <w:r>
              <w:rPr>
                <w:rFonts w:hint="eastAsia" w:ascii="宋体" w:hAnsi="宋体" w:cs="宋体"/>
                <w:color w:val="auto"/>
                <w:sz w:val="21"/>
                <w:szCs w:val="21"/>
                <w:highlight w:val="none"/>
                <w:u w:val="none"/>
                <w:lang w:eastAsia="zh-CN"/>
              </w:rPr>
              <w:t>彭水九黎文化旅游投资有限公司</w:t>
            </w:r>
          </w:p>
          <w:p w14:paraId="6DFC95E3">
            <w:pPr>
              <w:tabs>
                <w:tab w:val="left" w:pos="8520"/>
              </w:tabs>
              <w:autoSpaceDE w:val="0"/>
              <w:autoSpaceDN w:val="0"/>
              <w:adjustRightInd w:val="0"/>
              <w:snapToGrid w:val="0"/>
              <w:spacing w:line="360" w:lineRule="auto"/>
              <w:jc w:val="both"/>
              <w:rPr>
                <w:rFonts w:hint="eastAsia" w:ascii="宋体" w:hAnsi="宋体" w:eastAsia="宋体" w:cs="宋体"/>
                <w:snapToGrid w:val="0"/>
                <w:color w:val="auto"/>
                <w:sz w:val="21"/>
                <w:szCs w:val="21"/>
                <w:highlight w:val="none"/>
                <w:u w:val="none"/>
                <w:lang w:val="en-US" w:eastAsia="zh-CN"/>
              </w:rPr>
            </w:pPr>
            <w:r>
              <w:rPr>
                <w:rFonts w:hint="eastAsia" w:ascii="宋体" w:hAnsi="宋体" w:eastAsia="宋体" w:cs="宋体"/>
                <w:snapToGrid w:val="0"/>
                <w:color w:val="auto"/>
                <w:kern w:val="0"/>
                <w:sz w:val="21"/>
                <w:szCs w:val="21"/>
                <w:highlight w:val="none"/>
              </w:rPr>
              <w:t>地    址：</w:t>
            </w:r>
            <w:r>
              <w:rPr>
                <w:rFonts w:hint="eastAsia" w:ascii="宋体" w:hAnsi="宋体" w:cs="宋体"/>
                <w:snapToGrid w:val="0"/>
                <w:color w:val="auto"/>
                <w:sz w:val="21"/>
                <w:szCs w:val="21"/>
                <w:highlight w:val="none"/>
                <w:u w:val="none"/>
                <w:lang w:eastAsia="zh-CN"/>
              </w:rPr>
              <w:t>重庆市彭水县靛水街道张家坝社区一组</w:t>
            </w:r>
          </w:p>
          <w:p w14:paraId="5E5DFA7B">
            <w:pPr>
              <w:keepNext w:val="0"/>
              <w:keepLines w:val="0"/>
              <w:pageBreakBefore w:val="0"/>
              <w:tabs>
                <w:tab w:val="left" w:pos="8520"/>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rPr>
              <w:t>联 系 人：</w:t>
            </w:r>
            <w:r>
              <w:rPr>
                <w:rFonts w:hint="eastAsia" w:ascii="宋体" w:hAnsi="宋体" w:cs="宋体"/>
                <w:snapToGrid w:val="0"/>
                <w:color w:val="auto"/>
                <w:sz w:val="22"/>
                <w:szCs w:val="22"/>
                <w:highlight w:val="none"/>
                <w:u w:val="none"/>
                <w:lang w:val="en-US" w:eastAsia="zh-CN"/>
              </w:rPr>
              <w:t>曾老师</w:t>
            </w:r>
          </w:p>
          <w:p w14:paraId="09608093">
            <w:pPr>
              <w:spacing w:line="360" w:lineRule="auto"/>
              <w:jc w:val="both"/>
              <w:rPr>
                <w:rFonts w:hint="default" w:ascii="宋体" w:hAnsi="宋体" w:cs="宋体"/>
                <w:color w:val="auto"/>
                <w:kern w:val="0"/>
                <w:szCs w:val="21"/>
                <w:highlight w:val="none"/>
                <w:lang w:val="en-US"/>
              </w:rPr>
            </w:pPr>
            <w:r>
              <w:rPr>
                <w:rFonts w:hint="eastAsia" w:ascii="宋体" w:hAnsi="宋体" w:eastAsia="宋体" w:cs="宋体"/>
                <w:snapToGrid w:val="0"/>
                <w:color w:val="auto"/>
                <w:kern w:val="0"/>
                <w:sz w:val="21"/>
                <w:szCs w:val="21"/>
                <w:highlight w:val="none"/>
              </w:rPr>
              <w:t>联系电话：</w:t>
            </w:r>
            <w:r>
              <w:rPr>
                <w:rFonts w:hint="eastAsia" w:ascii="宋体" w:hAnsi="宋体" w:cs="宋体"/>
                <w:snapToGrid w:val="0"/>
                <w:color w:val="auto"/>
                <w:sz w:val="22"/>
                <w:szCs w:val="22"/>
                <w:highlight w:val="none"/>
                <w:u w:val="none"/>
                <w:lang w:val="en-US" w:eastAsia="zh-CN"/>
              </w:rPr>
              <w:t>18182393708</w:t>
            </w:r>
          </w:p>
        </w:tc>
      </w:tr>
      <w:tr w14:paraId="198C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6B08A363">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897" w:type="dxa"/>
            <w:noWrap w:val="0"/>
            <w:vAlign w:val="center"/>
          </w:tcPr>
          <w:p w14:paraId="3B900E15">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比选代理机构</w:t>
            </w:r>
          </w:p>
        </w:tc>
        <w:tc>
          <w:tcPr>
            <w:tcW w:w="6662" w:type="dxa"/>
            <w:noWrap w:val="0"/>
            <w:vAlign w:val="center"/>
          </w:tcPr>
          <w:p w14:paraId="0338D7D3">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比选代理机构：</w:t>
            </w:r>
            <w:r>
              <w:rPr>
                <w:rFonts w:hint="eastAsia" w:ascii="宋体" w:hAnsi="宋体" w:cs="宋体"/>
                <w:color w:val="auto"/>
                <w:sz w:val="21"/>
                <w:szCs w:val="21"/>
                <w:highlight w:val="none"/>
                <w:lang w:eastAsia="zh-CN"/>
              </w:rPr>
              <w:t>重庆四建季峰工程咨询有限公司</w:t>
            </w:r>
          </w:p>
          <w:p w14:paraId="68913253">
            <w:pPr>
              <w:spacing w:line="360" w:lineRule="auto"/>
              <w:jc w:val="left"/>
              <w:rPr>
                <w:rFonts w:hint="default" w:ascii="宋体" w:hAnsi="宋体" w:eastAsia="宋体" w:cs="MingLiU"/>
                <w:color w:val="auto"/>
                <w:highlight w:val="none"/>
                <w:lang w:val="en-US" w:eastAsia="zh-CN"/>
              </w:rPr>
            </w:pPr>
            <w:r>
              <w:rPr>
                <w:rFonts w:hint="default" w:ascii="宋体" w:hAnsi="宋体" w:eastAsia="宋体" w:cs="MingLiU"/>
                <w:color w:val="auto"/>
                <w:highlight w:val="none"/>
                <w:lang w:val="en-US" w:eastAsia="zh-CN"/>
              </w:rPr>
              <w:t>地址：</w:t>
            </w:r>
            <w:r>
              <w:rPr>
                <w:rFonts w:hint="eastAsia" w:ascii="宋体" w:hAnsi="宋体" w:cs="MingLiU"/>
                <w:color w:val="auto"/>
                <w:highlight w:val="none"/>
                <w:lang w:val="en-US" w:eastAsia="zh-CN"/>
              </w:rPr>
              <w:t>彭水苗族土家族自治县汉葭街道文庙社区黔中路73号</w:t>
            </w:r>
          </w:p>
          <w:p w14:paraId="3A589FFC">
            <w:pPr>
              <w:spacing w:line="360" w:lineRule="auto"/>
              <w:jc w:val="left"/>
              <w:rPr>
                <w:rFonts w:hint="default" w:ascii="宋体" w:hAnsi="宋体" w:eastAsia="宋体" w:cs="MingLiU"/>
                <w:color w:val="auto"/>
                <w:highlight w:val="none"/>
                <w:lang w:val="en-US" w:eastAsia="zh-CN"/>
              </w:rPr>
            </w:pPr>
            <w:r>
              <w:rPr>
                <w:rFonts w:hint="default" w:ascii="宋体" w:hAnsi="宋体" w:eastAsia="宋体" w:cs="MingLiU"/>
                <w:color w:val="auto"/>
                <w:highlight w:val="none"/>
                <w:lang w:val="en-US" w:eastAsia="zh-CN"/>
              </w:rPr>
              <w:t>联系人：冉老师</w:t>
            </w:r>
          </w:p>
          <w:p w14:paraId="3A09F982">
            <w:pPr>
              <w:spacing w:line="360" w:lineRule="auto"/>
              <w:jc w:val="left"/>
              <w:rPr>
                <w:rFonts w:hint="default" w:ascii="宋体" w:hAnsi="宋体" w:eastAsia="宋体" w:cs="MingLiU"/>
                <w:color w:val="auto"/>
                <w:highlight w:val="none"/>
                <w:lang w:val="en-US" w:eastAsia="zh-CN"/>
              </w:rPr>
            </w:pPr>
            <w:r>
              <w:rPr>
                <w:rFonts w:hint="default" w:ascii="宋体" w:hAnsi="宋体" w:eastAsia="宋体" w:cs="MingLiU"/>
                <w:color w:val="auto"/>
                <w:highlight w:val="none"/>
                <w:lang w:val="en-US" w:eastAsia="zh-CN"/>
              </w:rPr>
              <w:t>电话：</w:t>
            </w:r>
            <w:r>
              <w:rPr>
                <w:rFonts w:hint="eastAsia" w:ascii="宋体" w:hAnsi="宋体" w:cs="MingLiU"/>
                <w:color w:val="auto"/>
                <w:highlight w:val="none"/>
                <w:lang w:val="en-US" w:eastAsia="zh-CN"/>
              </w:rPr>
              <w:t>19923076393</w:t>
            </w:r>
          </w:p>
        </w:tc>
      </w:tr>
      <w:tr w14:paraId="17F30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88" w:type="dxa"/>
            <w:noWrap w:val="0"/>
            <w:vAlign w:val="center"/>
          </w:tcPr>
          <w:p w14:paraId="564EF0C3">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1897" w:type="dxa"/>
            <w:noWrap w:val="0"/>
            <w:vAlign w:val="center"/>
          </w:tcPr>
          <w:p w14:paraId="2DFAA4C9">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6662" w:type="dxa"/>
            <w:noWrap w:val="0"/>
            <w:vAlign w:val="center"/>
          </w:tcPr>
          <w:p w14:paraId="0D487A90">
            <w:pPr>
              <w:keepNext w:val="0"/>
              <w:keepLines w:val="0"/>
              <w:widowControl w:val="0"/>
              <w:suppressLineNumbers w:val="0"/>
              <w:spacing w:before="0" w:beforeAutospacing="0" w:after="0" w:afterAutospacing="0"/>
              <w:ind w:left="0" w:right="0"/>
              <w:jc w:val="both"/>
              <w:rPr>
                <w:rFonts w:hint="eastAsia" w:ascii="宋体" w:hAnsi="宋体" w:eastAsia="宋体" w:cs="宋体"/>
                <w:bCs/>
                <w:color w:val="auto"/>
                <w:kern w:val="0"/>
                <w:szCs w:val="21"/>
                <w:highlight w:val="none"/>
                <w:u w:val="none"/>
                <w:lang w:eastAsia="zh-CN"/>
              </w:rPr>
            </w:pPr>
            <w:r>
              <w:rPr>
                <w:rFonts w:hint="eastAsia" w:ascii="宋体" w:hAnsi="宋体" w:cs="宋体"/>
                <w:spacing w:val="-8"/>
                <w:sz w:val="21"/>
                <w:szCs w:val="21"/>
                <w:highlight w:val="none"/>
                <w:lang w:val="en-US" w:eastAsia="zh-CN"/>
              </w:rPr>
              <w:t>蚩尤九黎城东城门至九黎酒店供水管道改道项目（劳务分包）</w:t>
            </w:r>
          </w:p>
        </w:tc>
      </w:tr>
      <w:tr w14:paraId="3882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noWrap w:val="0"/>
            <w:vAlign w:val="center"/>
          </w:tcPr>
          <w:p w14:paraId="15043B71">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1897" w:type="dxa"/>
            <w:noWrap w:val="0"/>
            <w:vAlign w:val="center"/>
          </w:tcPr>
          <w:p w14:paraId="46D59CB6">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建设地点</w:t>
            </w:r>
          </w:p>
        </w:tc>
        <w:tc>
          <w:tcPr>
            <w:tcW w:w="6662" w:type="dxa"/>
            <w:noWrap w:val="0"/>
            <w:vAlign w:val="center"/>
          </w:tcPr>
          <w:p w14:paraId="55BB1431">
            <w:pPr>
              <w:snapToGrid w:val="0"/>
              <w:spacing w:line="420" w:lineRule="exact"/>
              <w:rPr>
                <w:rFonts w:hint="eastAsia" w:ascii="宋体" w:hAnsi="宋体" w:cs="宋体"/>
                <w:bCs/>
                <w:color w:val="auto"/>
                <w:kern w:val="0"/>
                <w:szCs w:val="21"/>
                <w:highlight w:val="none"/>
              </w:rPr>
            </w:pPr>
            <w:r>
              <w:rPr>
                <w:rFonts w:hint="eastAsia" w:ascii="宋体" w:hAnsi="宋体" w:cs="宋体"/>
                <w:spacing w:val="4"/>
                <w:sz w:val="22"/>
                <w:szCs w:val="22"/>
                <w:highlight w:val="none"/>
                <w:u w:val="none" w:color="auto"/>
                <w:lang w:eastAsia="zh-CN"/>
              </w:rPr>
              <w:t>蚩尤九黎城东城门至九黎酒店</w:t>
            </w:r>
          </w:p>
        </w:tc>
      </w:tr>
      <w:tr w14:paraId="2300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88" w:type="dxa"/>
            <w:noWrap w:val="0"/>
            <w:vAlign w:val="center"/>
          </w:tcPr>
          <w:p w14:paraId="692EA8FE">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1897" w:type="dxa"/>
            <w:noWrap w:val="0"/>
            <w:vAlign w:val="center"/>
          </w:tcPr>
          <w:p w14:paraId="43679B5F">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资金来源</w:t>
            </w:r>
          </w:p>
        </w:tc>
        <w:tc>
          <w:tcPr>
            <w:tcW w:w="6662" w:type="dxa"/>
            <w:noWrap w:val="0"/>
            <w:vAlign w:val="center"/>
          </w:tcPr>
          <w:p w14:paraId="134B32BB">
            <w:pPr>
              <w:snapToGrid w:val="0"/>
              <w:spacing w:line="420" w:lineRule="exact"/>
              <w:rPr>
                <w:rFonts w:hint="default" w:ascii="宋体" w:hAnsi="宋体" w:cs="宋体"/>
                <w:color w:val="auto"/>
                <w:kern w:val="0"/>
                <w:szCs w:val="21"/>
                <w:highlight w:val="none"/>
                <w:lang w:val="en-US"/>
              </w:rPr>
            </w:pPr>
            <w:r>
              <w:rPr>
                <w:rFonts w:hint="eastAsia" w:ascii="宋体" w:hAnsi="宋体" w:cs="宋体"/>
                <w:color w:val="000000" w:themeColor="text1"/>
                <w:kern w:val="0"/>
                <w:szCs w:val="21"/>
                <w:highlight w:val="none"/>
                <w:lang w:val="en-US" w:eastAsia="zh-CN"/>
                <w14:textFill>
                  <w14:solidFill>
                    <w14:schemeClr w14:val="tx1"/>
                  </w14:solidFill>
                </w14:textFill>
              </w:rPr>
              <w:t>自筹资金</w:t>
            </w:r>
          </w:p>
        </w:tc>
      </w:tr>
      <w:tr w14:paraId="2E4A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88" w:type="dxa"/>
            <w:noWrap w:val="0"/>
            <w:vAlign w:val="center"/>
          </w:tcPr>
          <w:p w14:paraId="11CF4223">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1897" w:type="dxa"/>
            <w:noWrap w:val="0"/>
            <w:vAlign w:val="center"/>
          </w:tcPr>
          <w:p w14:paraId="17BB53F0">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资金落实情况</w:t>
            </w:r>
          </w:p>
        </w:tc>
        <w:tc>
          <w:tcPr>
            <w:tcW w:w="6662" w:type="dxa"/>
            <w:noWrap w:val="0"/>
            <w:vAlign w:val="center"/>
          </w:tcPr>
          <w:p w14:paraId="51A5190A">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已落实</w:t>
            </w:r>
          </w:p>
        </w:tc>
      </w:tr>
      <w:tr w14:paraId="04D4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88" w:type="dxa"/>
            <w:noWrap w:val="0"/>
            <w:vAlign w:val="center"/>
          </w:tcPr>
          <w:p w14:paraId="1C6DE3F3">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1897" w:type="dxa"/>
            <w:noWrap w:val="0"/>
            <w:vAlign w:val="center"/>
          </w:tcPr>
          <w:p w14:paraId="0260EBC1">
            <w:pPr>
              <w:snapToGrid w:val="0"/>
              <w:spacing w:line="420" w:lineRule="exact"/>
              <w:jc w:val="center"/>
              <w:rPr>
                <w:rFonts w:hint="eastAsia" w:ascii="宋体" w:hAnsi="宋体"/>
                <w:color w:val="auto"/>
                <w:szCs w:val="21"/>
                <w:highlight w:val="none"/>
              </w:rPr>
            </w:pPr>
            <w:r>
              <w:rPr>
                <w:rFonts w:hint="eastAsia" w:ascii="宋体" w:hAnsi="宋体"/>
                <w:color w:val="auto"/>
                <w:szCs w:val="21"/>
                <w:highlight w:val="none"/>
              </w:rPr>
              <w:t>比选范围</w:t>
            </w:r>
          </w:p>
        </w:tc>
        <w:tc>
          <w:tcPr>
            <w:tcW w:w="6662" w:type="dxa"/>
            <w:noWrap w:val="0"/>
            <w:vAlign w:val="center"/>
          </w:tcPr>
          <w:p w14:paraId="279EA067">
            <w:pPr>
              <w:keepNext w:val="0"/>
              <w:keepLines w:val="0"/>
              <w:pageBreakBefore w:val="0"/>
              <w:kinsoku/>
              <w:wordWrap/>
              <w:overflowPunct/>
              <w:topLinePunct w:val="0"/>
              <w:bidi w:val="0"/>
              <w:spacing w:line="380" w:lineRule="exact"/>
              <w:ind w:firstLine="440" w:firstLineChars="200"/>
              <w:jc w:val="left"/>
              <w:textAlignment w:val="auto"/>
              <w:rPr>
                <w:rFonts w:hint="eastAsia" w:ascii="宋体" w:hAnsi="宋体" w:cs="宋体"/>
                <w:bCs/>
                <w:color w:val="auto"/>
                <w:kern w:val="0"/>
                <w:szCs w:val="21"/>
                <w:highlight w:val="none"/>
              </w:rPr>
            </w:pPr>
            <w:r>
              <w:rPr>
                <w:rFonts w:hint="eastAsia" w:ascii="宋体" w:hAnsi="宋体" w:cs="宋体"/>
                <w:bCs/>
                <w:color w:val="auto"/>
                <w:kern w:val="0"/>
                <w:sz w:val="22"/>
                <w:szCs w:val="22"/>
                <w:highlight w:val="none"/>
              </w:rPr>
              <w:t>比选人提供</w:t>
            </w:r>
            <w:r>
              <w:rPr>
                <w:rFonts w:hint="eastAsia" w:ascii="宋体" w:hAnsi="宋体" w:cs="宋体"/>
                <w:color w:val="auto"/>
                <w:kern w:val="0"/>
                <w:sz w:val="22"/>
                <w:szCs w:val="22"/>
                <w:highlight w:val="none"/>
              </w:rPr>
              <w:t>的《</w:t>
            </w:r>
            <w:r>
              <w:rPr>
                <w:rFonts w:hint="eastAsia" w:ascii="宋体" w:hAnsi="宋体" w:cs="宋体"/>
                <w:spacing w:val="4"/>
                <w:sz w:val="22"/>
                <w:szCs w:val="22"/>
                <w:highlight w:val="none"/>
                <w:u w:val="single" w:color="auto"/>
                <w:lang w:eastAsia="zh-CN"/>
              </w:rPr>
              <w:t>蚩尤九黎城东城门至九黎酒店供水管道改道项目（劳务分包）</w:t>
            </w:r>
            <w:r>
              <w:rPr>
                <w:rFonts w:hint="eastAsia" w:ascii="宋体" w:hAnsi="宋体" w:cs="宋体"/>
                <w:color w:val="auto"/>
                <w:kern w:val="0"/>
                <w:sz w:val="22"/>
                <w:szCs w:val="22"/>
                <w:highlight w:val="none"/>
                <w:u w:val="none"/>
              </w:rPr>
              <w:t>》</w:t>
            </w:r>
            <w:r>
              <w:rPr>
                <w:rFonts w:hint="eastAsia" w:ascii="宋体" w:hAnsi="宋体" w:cs="宋体"/>
                <w:color w:val="auto"/>
                <w:kern w:val="0"/>
                <w:sz w:val="22"/>
                <w:szCs w:val="22"/>
                <w:highlight w:val="none"/>
              </w:rPr>
              <w:t>所包含全部工程内容</w:t>
            </w:r>
            <w:r>
              <w:rPr>
                <w:rFonts w:hint="eastAsia" w:ascii="宋体" w:hAnsi="宋体" w:cs="宋体"/>
                <w:bCs/>
                <w:color w:val="000000"/>
                <w:kern w:val="0"/>
                <w:szCs w:val="21"/>
                <w:highlight w:val="none"/>
                <w:lang w:val="en-US" w:eastAsia="zh-CN"/>
              </w:rPr>
              <w:t>，</w:t>
            </w:r>
            <w:r>
              <w:rPr>
                <w:rFonts w:hint="eastAsia" w:ascii="宋体" w:hAnsi="宋体" w:eastAsia="宋体" w:cs="宋体"/>
                <w:bCs/>
                <w:color w:val="auto"/>
                <w:kern w:val="0"/>
                <w:sz w:val="22"/>
                <w:szCs w:val="22"/>
                <w:highlight w:val="none"/>
              </w:rPr>
              <w:t>具体以比选人提供的工程量清单及图纸为准</w:t>
            </w:r>
            <w:r>
              <w:rPr>
                <w:rFonts w:hint="eastAsia" w:ascii="宋体" w:hAnsi="宋体" w:cs="宋体"/>
                <w:bCs/>
                <w:color w:val="auto"/>
                <w:kern w:val="0"/>
                <w:sz w:val="22"/>
                <w:szCs w:val="22"/>
                <w:highlight w:val="none"/>
                <w:lang w:eastAsia="zh-CN"/>
              </w:rPr>
              <w:t>（</w:t>
            </w:r>
            <w:r>
              <w:rPr>
                <w:rFonts w:hint="eastAsia" w:ascii="宋体" w:hAnsi="宋体" w:cs="宋体"/>
                <w:bCs/>
                <w:color w:val="auto"/>
                <w:kern w:val="0"/>
                <w:sz w:val="22"/>
                <w:szCs w:val="22"/>
                <w:highlight w:val="none"/>
                <w:lang w:val="en-US" w:eastAsia="zh-CN"/>
              </w:rPr>
              <w:t>包含甲供材料见附件）</w:t>
            </w:r>
            <w:r>
              <w:rPr>
                <w:rFonts w:hint="eastAsia" w:ascii="宋体" w:hAnsi="宋体" w:eastAsia="宋体" w:cs="宋体"/>
                <w:bCs/>
                <w:color w:val="auto"/>
                <w:kern w:val="0"/>
                <w:sz w:val="22"/>
                <w:szCs w:val="22"/>
                <w:highlight w:val="none"/>
              </w:rPr>
              <w:t>。</w:t>
            </w:r>
          </w:p>
        </w:tc>
      </w:tr>
      <w:tr w14:paraId="05EB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88" w:type="dxa"/>
            <w:noWrap w:val="0"/>
            <w:vAlign w:val="center"/>
          </w:tcPr>
          <w:p w14:paraId="4913375A">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1897" w:type="dxa"/>
            <w:noWrap w:val="0"/>
            <w:vAlign w:val="center"/>
          </w:tcPr>
          <w:p w14:paraId="2E5110BC">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工期要求</w:t>
            </w:r>
          </w:p>
        </w:tc>
        <w:tc>
          <w:tcPr>
            <w:tcW w:w="6662" w:type="dxa"/>
            <w:noWrap w:val="0"/>
            <w:vAlign w:val="center"/>
          </w:tcPr>
          <w:p w14:paraId="5B87FE2E">
            <w:pPr>
              <w:spacing w:line="460" w:lineRule="exact"/>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以比选人要求为准</w:t>
            </w:r>
          </w:p>
        </w:tc>
      </w:tr>
      <w:tr w14:paraId="7B74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noWrap w:val="0"/>
            <w:vAlign w:val="center"/>
          </w:tcPr>
          <w:p w14:paraId="11C8D416">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1897" w:type="dxa"/>
            <w:noWrap w:val="0"/>
            <w:vAlign w:val="center"/>
          </w:tcPr>
          <w:p w14:paraId="2A83EF74">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6662" w:type="dxa"/>
            <w:noWrap w:val="0"/>
            <w:vAlign w:val="center"/>
          </w:tcPr>
          <w:p w14:paraId="3529E49C">
            <w:pPr>
              <w:spacing w:before="127" w:line="356" w:lineRule="auto"/>
              <w:rPr>
                <w:rFonts w:hint="eastAsia" w:ascii="宋体" w:hAnsi="宋体" w:cs="宋体"/>
                <w:color w:val="auto"/>
                <w:szCs w:val="21"/>
                <w:highlight w:val="none"/>
              </w:rPr>
            </w:pPr>
            <w:r>
              <w:rPr>
                <w:rFonts w:ascii="宋体" w:hAnsi="宋体" w:eastAsia="宋体" w:cs="宋体"/>
                <w:spacing w:val="-8"/>
                <w:sz w:val="21"/>
                <w:szCs w:val="21"/>
                <w:highlight w:val="none"/>
                <w:u w:val="single" w:color="auto"/>
              </w:rPr>
              <w:t>符合强制</w:t>
            </w:r>
            <w:r>
              <w:rPr>
                <w:rFonts w:ascii="宋体" w:hAnsi="宋体" w:eastAsia="宋体" w:cs="宋体"/>
                <w:spacing w:val="-6"/>
                <w:sz w:val="21"/>
                <w:szCs w:val="21"/>
                <w:highlight w:val="none"/>
                <w:u w:val="single" w:color="auto"/>
              </w:rPr>
              <w:t>性</w:t>
            </w:r>
            <w:r>
              <w:rPr>
                <w:rFonts w:ascii="宋体" w:hAnsi="宋体" w:eastAsia="宋体" w:cs="宋体"/>
                <w:spacing w:val="-4"/>
                <w:sz w:val="21"/>
                <w:szCs w:val="21"/>
                <w:highlight w:val="none"/>
                <w:u w:val="single" w:color="auto"/>
              </w:rPr>
              <w:t>质量标准，符合国家和重庆市现行有关施工质量验收</w:t>
            </w:r>
            <w:r>
              <w:rPr>
                <w:rFonts w:ascii="宋体" w:hAnsi="宋体" w:eastAsia="宋体" w:cs="宋体"/>
                <w:spacing w:val="-1"/>
                <w:sz w:val="21"/>
                <w:szCs w:val="21"/>
                <w:highlight w:val="none"/>
                <w:u w:val="single" w:color="auto"/>
              </w:rPr>
              <w:t>规范要求</w:t>
            </w:r>
            <w:r>
              <w:rPr>
                <w:rFonts w:ascii="宋体" w:hAnsi="宋体" w:eastAsia="宋体" w:cs="宋体"/>
                <w:sz w:val="21"/>
                <w:szCs w:val="21"/>
                <w:highlight w:val="none"/>
                <w:u w:val="single" w:color="auto"/>
              </w:rPr>
              <w:t>，并达到合格标准</w:t>
            </w:r>
            <w:r>
              <w:rPr>
                <w:rFonts w:ascii="宋体" w:hAnsi="宋体" w:eastAsia="宋体" w:cs="宋体"/>
                <w:sz w:val="21"/>
                <w:szCs w:val="21"/>
                <w:highlight w:val="none"/>
                <w:u w:val="none" w:color="auto"/>
              </w:rPr>
              <w:t>。</w:t>
            </w:r>
          </w:p>
        </w:tc>
      </w:tr>
      <w:tr w14:paraId="0893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6DCDB9BE">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1897" w:type="dxa"/>
            <w:noWrap w:val="0"/>
            <w:vAlign w:val="center"/>
          </w:tcPr>
          <w:p w14:paraId="596FE011">
            <w:pPr>
              <w:snapToGrid w:val="0"/>
              <w:spacing w:line="420" w:lineRule="exact"/>
              <w:jc w:val="center"/>
              <w:rPr>
                <w:rFonts w:hint="eastAsia" w:ascii="宋体" w:hAnsi="宋体" w:cs="宋体"/>
                <w:color w:val="auto"/>
                <w:highlight w:val="none"/>
              </w:rPr>
            </w:pPr>
            <w:r>
              <w:rPr>
                <w:rFonts w:hint="eastAsia" w:ascii="宋体" w:hAnsi="宋体" w:cs="宋体"/>
                <w:color w:val="auto"/>
                <w:highlight w:val="none"/>
              </w:rPr>
              <w:t>竞选人资质条件、能力和信誉</w:t>
            </w:r>
          </w:p>
          <w:p w14:paraId="52EAEF69">
            <w:pPr>
              <w:snapToGrid w:val="0"/>
              <w:spacing w:line="420" w:lineRule="exact"/>
              <w:jc w:val="center"/>
              <w:rPr>
                <w:rFonts w:hint="eastAsia" w:ascii="宋体" w:hAnsi="宋体" w:cs="宋体"/>
                <w:color w:val="auto"/>
                <w:highlight w:val="none"/>
              </w:rPr>
            </w:pPr>
          </w:p>
        </w:tc>
        <w:tc>
          <w:tcPr>
            <w:tcW w:w="6662" w:type="dxa"/>
            <w:noWrap w:val="0"/>
            <w:vAlign w:val="center"/>
          </w:tcPr>
          <w:p w14:paraId="42D5B4B6">
            <w:pPr>
              <w:autoSpaceDE w:val="0"/>
              <w:autoSpaceDN w:val="0"/>
              <w:adjustRightInd w:val="0"/>
              <w:snapToGrid w:val="0"/>
              <w:spacing w:line="400" w:lineRule="exact"/>
              <w:ind w:firstLine="420" w:firstLineChars="200"/>
              <w:rPr>
                <w:color w:val="auto"/>
                <w:highlight w:val="none"/>
              </w:rPr>
            </w:pPr>
            <w:r>
              <w:rPr>
                <w:color w:val="auto"/>
                <w:highlight w:val="none"/>
              </w:rPr>
              <w:t>本工程施工</w:t>
            </w:r>
            <w:r>
              <w:rPr>
                <w:rFonts w:hint="eastAsia"/>
                <w:color w:val="auto"/>
                <w:highlight w:val="none"/>
              </w:rPr>
              <w:t>比选</w:t>
            </w:r>
            <w:r>
              <w:rPr>
                <w:color w:val="auto"/>
                <w:highlight w:val="none"/>
              </w:rPr>
              <w:t>实行资格</w:t>
            </w:r>
            <w:r>
              <w:rPr>
                <w:rFonts w:hint="eastAsia"/>
                <w:color w:val="auto"/>
                <w:highlight w:val="none"/>
                <w:lang w:val="en-US" w:eastAsia="zh-CN"/>
              </w:rPr>
              <w:t>后审</w:t>
            </w:r>
            <w:r>
              <w:rPr>
                <w:rFonts w:ascii="Times New Roman" w:hAnsi="Times New Roman" w:eastAsia="宋体" w:cs="Times New Roman"/>
                <w:color w:val="auto"/>
                <w:highlight w:val="none"/>
              </w:rPr>
              <w:t>，</w:t>
            </w:r>
            <w:r>
              <w:rPr>
                <w:rFonts w:hint="eastAsia"/>
                <w:color w:val="auto"/>
                <w:highlight w:val="none"/>
              </w:rPr>
              <w:t>竞选</w:t>
            </w:r>
            <w:r>
              <w:rPr>
                <w:color w:val="auto"/>
                <w:highlight w:val="none"/>
              </w:rPr>
              <w:t>人应具备以下资格条件：</w:t>
            </w:r>
          </w:p>
          <w:p w14:paraId="10BC2229">
            <w:pPr>
              <w:autoSpaceDE w:val="0"/>
              <w:autoSpaceDN w:val="0"/>
              <w:adjustRightInd w:val="0"/>
              <w:snapToGrid w:val="0"/>
              <w:spacing w:line="400" w:lineRule="exact"/>
              <w:ind w:firstLine="420" w:firstLineChars="200"/>
              <w:rPr>
                <w:color w:val="auto"/>
                <w:highlight w:val="none"/>
              </w:rPr>
            </w:pPr>
            <w:r>
              <w:rPr>
                <w:color w:val="auto"/>
                <w:highlight w:val="none"/>
              </w:rPr>
              <w:t>1.资质条件、营业执照及安全生产条件</w:t>
            </w:r>
          </w:p>
          <w:p w14:paraId="73CE3AD2">
            <w:pPr>
              <w:autoSpaceDE w:val="0"/>
              <w:autoSpaceDN w:val="0"/>
              <w:adjustRightInd w:val="0"/>
              <w:snapToGrid w:val="0"/>
              <w:spacing w:line="400" w:lineRule="exact"/>
              <w:ind w:firstLine="420" w:firstLineChars="200"/>
              <w:jc w:val="left"/>
              <w:rPr>
                <w:rFonts w:hint="eastAsia" w:eastAsia="宋体"/>
                <w:color w:val="auto"/>
                <w:highlight w:val="none"/>
                <w:lang w:eastAsia="zh-CN"/>
              </w:rPr>
            </w:pPr>
            <w:r>
              <w:rPr>
                <w:color w:val="auto"/>
                <w:highlight w:val="none"/>
              </w:rPr>
              <w:t>（1）</w:t>
            </w:r>
            <w:r>
              <w:rPr>
                <w:rFonts w:hint="eastAsia"/>
                <w:color w:val="auto"/>
                <w:highlight w:val="none"/>
              </w:rPr>
              <w:t>须具备建设行政主管部门颁发的</w:t>
            </w:r>
            <w:r>
              <w:rPr>
                <w:rFonts w:hint="eastAsia"/>
                <w:color w:val="auto"/>
                <w:highlight w:val="none"/>
                <w:lang w:eastAsia="zh-CN"/>
              </w:rPr>
              <w:t>施工劳务不分等级。</w:t>
            </w:r>
          </w:p>
          <w:p w14:paraId="69B4306B">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[须提供有效的带二维码标识的资质证书]。</w:t>
            </w:r>
          </w:p>
          <w:p w14:paraId="329E50BD">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（2）具备有效的营业执照。</w:t>
            </w:r>
          </w:p>
          <w:p w14:paraId="2AF8B161">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[须提供有效的带二维码标识的营业执照]。</w:t>
            </w:r>
          </w:p>
          <w:p w14:paraId="1EE983AA">
            <w:pPr>
              <w:autoSpaceDE w:val="0"/>
              <w:autoSpaceDN w:val="0"/>
              <w:adjustRightInd w:val="0"/>
              <w:snapToGrid w:val="0"/>
              <w:spacing w:line="240" w:lineRule="auto"/>
              <w:ind w:firstLine="422" w:firstLineChars="200"/>
              <w:rPr>
                <w:rFonts w:hint="eastAsia"/>
                <w:b/>
                <w:bCs/>
                <w:color w:val="auto"/>
                <w:highlight w:val="none"/>
                <w:lang w:val="en-US" w:eastAsia="zh-CN"/>
              </w:rPr>
            </w:pPr>
            <w:r>
              <w:rPr>
                <w:rFonts w:hint="eastAsia"/>
                <w:b/>
                <w:bCs/>
                <w:color w:val="auto"/>
                <w:highlight w:val="none"/>
              </w:rPr>
              <w:t>（3）具备建设行政主管部门颁发的有效的安全生产许可证</w:t>
            </w:r>
            <w:r>
              <w:rPr>
                <w:rFonts w:hint="eastAsia"/>
                <w:b/>
                <w:bCs/>
                <w:color w:val="auto"/>
                <w:highlight w:val="none"/>
                <w:lang w:eastAsia="zh-CN"/>
              </w:rPr>
              <w:t>。</w:t>
            </w:r>
          </w:p>
          <w:p w14:paraId="4BB92C10">
            <w:pPr>
              <w:numPr>
                <w:ilvl w:val="0"/>
                <w:numId w:val="1"/>
              </w:numPr>
              <w:adjustRightInd w:val="0"/>
              <w:snapToGrid w:val="0"/>
              <w:spacing w:line="400" w:lineRule="exact"/>
              <w:ind w:firstLine="420" w:firstLineChars="200"/>
              <w:rPr>
                <w:rFonts w:hint="eastAsia"/>
                <w:color w:val="auto"/>
                <w:highlight w:val="none"/>
              </w:rPr>
            </w:pPr>
            <w:r>
              <w:rPr>
                <w:rFonts w:hint="eastAsia"/>
                <w:color w:val="auto"/>
                <w:highlight w:val="none"/>
              </w:rPr>
              <w:t>财务要求</w:t>
            </w:r>
          </w:p>
          <w:p w14:paraId="21EBCDCC">
            <w:pPr>
              <w:snapToGrid w:val="0"/>
              <w:spacing w:line="400" w:lineRule="exact"/>
              <w:ind w:firstLine="420" w:firstLineChars="200"/>
              <w:rPr>
                <w:rFonts w:hint="default"/>
                <w:color w:val="auto"/>
                <w:highlight w:val="none"/>
                <w:lang w:val="en-US" w:eastAsia="zh-CN"/>
              </w:rPr>
            </w:pPr>
            <w:r>
              <w:rPr>
                <w:rFonts w:hint="eastAsia"/>
                <w:color w:val="auto"/>
                <w:highlight w:val="none"/>
                <w:lang w:val="en-US" w:eastAsia="zh-CN"/>
              </w:rPr>
              <w:t>不要求</w:t>
            </w:r>
          </w:p>
          <w:p w14:paraId="1AABE6A5">
            <w:pPr>
              <w:pStyle w:val="2"/>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3.业绩要求</w:t>
            </w:r>
          </w:p>
          <w:p w14:paraId="5B861069">
            <w:pPr>
              <w:adjustRightInd w:val="0"/>
              <w:snapToGrid w:val="0"/>
              <w:spacing w:line="400" w:lineRule="exact"/>
              <w:ind w:firstLine="420" w:firstLineChars="200"/>
              <w:rPr>
                <w:rFonts w:hint="default"/>
                <w:color w:val="auto"/>
                <w:highlight w:val="none"/>
                <w:lang w:val="en-US" w:eastAsia="zh-CN"/>
              </w:rPr>
            </w:pPr>
            <w:r>
              <w:rPr>
                <w:rFonts w:hint="eastAsia"/>
                <w:color w:val="auto"/>
                <w:highlight w:val="none"/>
                <w:lang w:val="en-US" w:eastAsia="zh-CN"/>
              </w:rPr>
              <w:t>不要求</w:t>
            </w:r>
          </w:p>
          <w:p w14:paraId="39E17BA0">
            <w:pPr>
              <w:adjustRightInd w:val="0"/>
              <w:snapToGrid w:val="0"/>
              <w:spacing w:line="400" w:lineRule="exact"/>
              <w:ind w:firstLine="420" w:firstLineChars="200"/>
              <w:rPr>
                <w:color w:val="auto"/>
                <w:highlight w:val="none"/>
              </w:rPr>
            </w:pPr>
            <w:r>
              <w:rPr>
                <w:rFonts w:hint="eastAsia"/>
                <w:color w:val="auto"/>
                <w:highlight w:val="none"/>
              </w:rPr>
              <w:t>4</w:t>
            </w:r>
            <w:r>
              <w:rPr>
                <w:color w:val="auto"/>
                <w:highlight w:val="none"/>
              </w:rPr>
              <w:t>.</w:t>
            </w:r>
            <w:r>
              <w:rPr>
                <w:rFonts w:hint="eastAsia"/>
                <w:color w:val="auto"/>
                <w:highlight w:val="none"/>
              </w:rPr>
              <w:t>比选</w:t>
            </w:r>
            <w:r>
              <w:rPr>
                <w:color w:val="auto"/>
                <w:highlight w:val="none"/>
              </w:rPr>
              <w:t>截止日</w:t>
            </w:r>
            <w:r>
              <w:rPr>
                <w:rFonts w:hint="eastAsia"/>
                <w:color w:val="auto"/>
                <w:highlight w:val="none"/>
              </w:rPr>
              <w:t>比选</w:t>
            </w:r>
            <w:r>
              <w:rPr>
                <w:color w:val="auto"/>
                <w:highlight w:val="none"/>
              </w:rPr>
              <w:t>资格情况</w:t>
            </w:r>
          </w:p>
          <w:p w14:paraId="1B2F0C66">
            <w:pPr>
              <w:snapToGrid w:val="0"/>
              <w:spacing w:line="400" w:lineRule="exact"/>
              <w:ind w:firstLine="420" w:firstLineChars="200"/>
              <w:rPr>
                <w:color w:val="auto"/>
                <w:highlight w:val="none"/>
              </w:rPr>
            </w:pPr>
            <w:r>
              <w:rPr>
                <w:rFonts w:hint="eastAsia"/>
                <w:color w:val="auto"/>
                <w:highlight w:val="none"/>
              </w:rPr>
              <w:t>竞选人自行承诺（格式自拟）不得存在下列情形之一：</w:t>
            </w:r>
          </w:p>
          <w:p w14:paraId="1BA61BBB">
            <w:pPr>
              <w:numPr>
                <w:ilvl w:val="0"/>
                <w:numId w:val="2"/>
              </w:numPr>
              <w:snapToGrid w:val="0"/>
              <w:spacing w:line="400" w:lineRule="exact"/>
              <w:ind w:firstLine="420" w:firstLineChars="200"/>
              <w:jc w:val="left"/>
              <w:rPr>
                <w:rFonts w:hint="eastAsia"/>
                <w:color w:val="auto"/>
                <w:highlight w:val="none"/>
              </w:rPr>
            </w:pPr>
            <w:r>
              <w:rPr>
                <w:rFonts w:hint="eastAsia"/>
                <w:color w:val="auto"/>
                <w:highlight w:val="none"/>
              </w:rPr>
              <w:t>被人民法院在“信用中国”网站（www.creditchina.gov.cn）列入失信惩戒对象名单且在被执行期内；</w:t>
            </w:r>
          </w:p>
          <w:p w14:paraId="4FF4F7D9">
            <w:pPr>
              <w:snapToGrid w:val="0"/>
              <w:spacing w:line="400" w:lineRule="exact"/>
              <w:ind w:firstLine="420" w:firstLineChars="200"/>
              <w:jc w:val="left"/>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）被列入《重庆市工程建设领域招标投标信用管理暂行办法》规定的黑名单且在记分有效期内；</w:t>
            </w:r>
          </w:p>
          <w:p w14:paraId="3A768023">
            <w:pPr>
              <w:snapToGrid w:val="0"/>
              <w:spacing w:line="400" w:lineRule="exact"/>
              <w:ind w:firstLine="420" w:firstLineChars="200"/>
              <w:jc w:val="left"/>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）被国家、重庆市（含市或任意区县）有关行政部门处以暂停投标资格行政处罚，且在处罚期限内；</w:t>
            </w:r>
          </w:p>
          <w:p w14:paraId="55741BB1">
            <w:pPr>
              <w:spacing w:line="400" w:lineRule="exact"/>
              <w:ind w:firstLine="420" w:firstLineChars="200"/>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）在国家企业信用信息公示系统（http://www.gsxt.gov.cn/）中被列入严重违法失信企业名单</w:t>
            </w:r>
            <w:r>
              <w:rPr>
                <w:rFonts w:hint="eastAsia"/>
                <w:color w:val="auto"/>
                <w:highlight w:val="none"/>
                <w:lang w:eastAsia="zh-CN"/>
              </w:rPr>
              <w:t>，</w:t>
            </w:r>
            <w:r>
              <w:rPr>
                <w:rFonts w:hint="eastAsia"/>
                <w:color w:val="auto"/>
                <w:highlight w:val="none"/>
                <w:lang w:val="en-US" w:eastAsia="zh-CN"/>
              </w:rPr>
              <w:t>需网页截图</w:t>
            </w:r>
            <w:r>
              <w:rPr>
                <w:rFonts w:hint="eastAsia"/>
                <w:color w:val="auto"/>
                <w:highlight w:val="none"/>
              </w:rPr>
              <w:t>；</w:t>
            </w:r>
          </w:p>
          <w:p w14:paraId="5654AEBF">
            <w:pPr>
              <w:snapToGrid w:val="0"/>
              <w:spacing w:line="400" w:lineRule="exact"/>
              <w:ind w:firstLine="420" w:firstLineChars="200"/>
              <w:jc w:val="left"/>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）被列入《重庆市工程建设领域招标投标信用管理暂行办法》规定的重点关注名单且记分达到12分且在记分有效期内；</w:t>
            </w:r>
          </w:p>
          <w:p w14:paraId="7E940FB7">
            <w:pPr>
              <w:spacing w:line="400" w:lineRule="exact"/>
              <w:ind w:firstLine="420" w:firstLineChars="200"/>
              <w:rPr>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）被重庆市建设主管部门暂停在渝承揽新业务且在暂停期内；</w:t>
            </w:r>
          </w:p>
          <w:p w14:paraId="10E1C8FA">
            <w:pPr>
              <w:spacing w:line="400" w:lineRule="exact"/>
              <w:ind w:firstLine="420" w:firstLineChars="200"/>
              <w:rPr>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）被责令停业，暂扣或吊销执照，或吊销资质证书；</w:t>
            </w:r>
          </w:p>
          <w:p w14:paraId="5539AF41">
            <w:pPr>
              <w:spacing w:line="400" w:lineRule="exact"/>
              <w:ind w:firstLine="420" w:firstLineChars="200"/>
              <w:rPr>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）进入清算程序，或被宣告破产，或其他丧失履约能力的情形；</w:t>
            </w:r>
          </w:p>
          <w:p w14:paraId="0AAADFC3">
            <w:pPr>
              <w:spacing w:line="400" w:lineRule="exact"/>
              <w:ind w:firstLine="420" w:firstLineChars="200"/>
              <w:rPr>
                <w:color w:val="auto"/>
                <w:highlight w:val="none"/>
              </w:rPr>
            </w:pPr>
            <w:r>
              <w:rPr>
                <w:rFonts w:hint="eastAsia"/>
                <w:color w:val="auto"/>
                <w:highlight w:val="none"/>
              </w:rPr>
              <w:t>竞选人须在竞选文件资格审查部分提供承诺。</w:t>
            </w:r>
          </w:p>
          <w:p w14:paraId="1CC3DC3D">
            <w:pPr>
              <w:keepNext w:val="0"/>
              <w:keepLines w:val="0"/>
              <w:pageBreakBefore w:val="0"/>
              <w:widowControl w:val="0"/>
              <w:kinsoku/>
              <w:overflowPunct/>
              <w:bidi w:val="0"/>
              <w:spacing w:line="400" w:lineRule="exact"/>
              <w:ind w:firstLine="422" w:firstLineChars="200"/>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5.</w:t>
            </w:r>
            <w:r>
              <w:rPr>
                <w:rFonts w:hint="eastAsia" w:ascii="Times New Roman" w:hAnsi="Times New Roman" w:eastAsia="宋体" w:cs="Times New Roman"/>
                <w:b/>
                <w:bCs/>
                <w:color w:val="auto"/>
                <w:highlight w:val="none"/>
                <w:lang w:val="en-US" w:eastAsia="zh-CN"/>
              </w:rPr>
              <w:t>项目主要负责人</w:t>
            </w:r>
            <w:r>
              <w:rPr>
                <w:rFonts w:hint="eastAsia" w:ascii="Times New Roman" w:hAnsi="Times New Roman" w:eastAsia="宋体" w:cs="Times New Roman"/>
                <w:b/>
                <w:bCs/>
                <w:color w:val="auto"/>
                <w:highlight w:val="none"/>
              </w:rPr>
              <w:t>要求</w:t>
            </w:r>
          </w:p>
          <w:p w14:paraId="05C54F8A">
            <w:pPr>
              <w:keepNext w:val="0"/>
              <w:keepLines w:val="0"/>
              <w:pageBreakBefore w:val="0"/>
              <w:widowControl w:val="0"/>
              <w:kinsoku/>
              <w:overflowPunct/>
              <w:bidi w:val="0"/>
              <w:spacing w:line="400" w:lineRule="exact"/>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w:t>
            </w:r>
            <w:r>
              <w:rPr>
                <w:rFonts w:hint="eastAsia" w:ascii="Times New Roman" w:hAnsi="Times New Roman" w:eastAsia="宋体" w:cs="Times New Roman"/>
                <w:color w:val="auto"/>
                <w:highlight w:val="none"/>
                <w:lang w:val="en-US" w:eastAsia="zh-CN"/>
              </w:rPr>
              <w:t>项目主要负责人</w:t>
            </w:r>
            <w:r>
              <w:rPr>
                <w:rFonts w:hint="eastAsia" w:ascii="Times New Roman" w:hAnsi="Times New Roman" w:eastAsia="宋体" w:cs="Times New Roman"/>
                <w:color w:val="auto"/>
                <w:highlight w:val="none"/>
              </w:rPr>
              <w:t>资格要求</w:t>
            </w:r>
          </w:p>
          <w:p w14:paraId="37C75EBB">
            <w:pPr>
              <w:keepNext w:val="0"/>
              <w:keepLines w:val="0"/>
              <w:pageBreakBefore w:val="0"/>
              <w:widowControl w:val="0"/>
              <w:kinsoku/>
              <w:overflowPunct/>
              <w:bidi w:val="0"/>
              <w:spacing w:line="400" w:lineRule="exact"/>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应具有</w:t>
            </w:r>
            <w:r>
              <w:rPr>
                <w:rFonts w:hint="eastAsia" w:ascii="Times New Roman" w:hAnsi="Times New Roman" w:eastAsia="宋体" w:cs="Times New Roman"/>
                <w:color w:val="auto"/>
                <w:highlight w:val="none"/>
                <w:lang w:val="en-US" w:eastAsia="zh-CN"/>
              </w:rPr>
              <w:t>安全生产考核合格证书A证</w:t>
            </w:r>
            <w:r>
              <w:rPr>
                <w:rFonts w:hint="eastAsia" w:ascii="Times New Roman" w:hAnsi="Times New Roman" w:eastAsia="宋体" w:cs="Times New Roman"/>
                <w:color w:val="auto"/>
                <w:highlight w:val="none"/>
              </w:rPr>
              <w:t>；</w:t>
            </w:r>
          </w:p>
          <w:p w14:paraId="6F905EF1">
            <w:pPr>
              <w:keepNext w:val="0"/>
              <w:keepLines w:val="0"/>
              <w:pageBreakBefore w:val="0"/>
              <w:widowControl w:val="0"/>
              <w:kinsoku/>
              <w:overflowPunct/>
              <w:bidi w:val="0"/>
              <w:spacing w:line="400" w:lineRule="exact"/>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（提供复印件</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身份证</w:t>
            </w:r>
            <w:r>
              <w:rPr>
                <w:rFonts w:hint="eastAsia" w:ascii="Times New Roman" w:hAnsi="Times New Roman" w:eastAsia="宋体" w:cs="Times New Roman"/>
                <w:color w:val="auto"/>
                <w:highlight w:val="none"/>
              </w:rPr>
              <w:t>并提供到岗履职承诺））</w:t>
            </w:r>
          </w:p>
          <w:p w14:paraId="75E5A676">
            <w:pPr>
              <w:keepNext w:val="0"/>
              <w:keepLines w:val="0"/>
              <w:pageBreakBefore w:val="0"/>
              <w:widowControl w:val="0"/>
              <w:kinsoku/>
              <w:overflowPunct/>
              <w:bidi w:val="0"/>
              <w:spacing w:line="400" w:lineRule="exact"/>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（2）主要管理人员要求</w:t>
            </w:r>
          </w:p>
          <w:p w14:paraId="042D88BA">
            <w:pPr>
              <w:keepNext w:val="0"/>
              <w:keepLines w:val="0"/>
              <w:pageBreakBefore w:val="0"/>
              <w:widowControl w:val="0"/>
              <w:kinsoku/>
              <w:overflowPunct/>
              <w:autoSpaceDE w:val="0"/>
              <w:autoSpaceDN w:val="0"/>
              <w:bidi w:val="0"/>
              <w:adjustRightInd w:val="0"/>
              <w:spacing w:line="400" w:lineRule="exact"/>
              <w:ind w:firstLine="420" w:firstLineChars="200"/>
              <w:rPr>
                <w:color w:val="auto"/>
                <w:highlight w:val="none"/>
              </w:rPr>
            </w:pPr>
            <w:r>
              <w:rPr>
                <w:rFonts w:hint="eastAsia"/>
                <w:color w:val="auto"/>
                <w:highlight w:val="none"/>
              </w:rPr>
              <w:t>竞选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竞选人为其缴纳的养老保险证明材料。中标后不能满足该要求的，取消其中标资格，给比选人造成损失的，竞选人依法承担违约赔偿责任。</w:t>
            </w:r>
          </w:p>
          <w:p w14:paraId="1059D9D3">
            <w:pPr>
              <w:autoSpaceDE w:val="0"/>
              <w:autoSpaceDN w:val="0"/>
              <w:adjustRightInd w:val="0"/>
              <w:spacing w:line="400" w:lineRule="exact"/>
              <w:ind w:firstLine="420" w:firstLineChars="200"/>
              <w:rPr>
                <w:color w:val="auto"/>
                <w:highlight w:val="none"/>
              </w:rPr>
            </w:pPr>
            <w:r>
              <w:rPr>
                <w:rFonts w:hint="eastAsia"/>
                <w:color w:val="auto"/>
                <w:highlight w:val="none"/>
              </w:rPr>
              <w:t>竞选人须在竞选文件资格审查部分提供承诺（格式自拟）。</w:t>
            </w:r>
          </w:p>
          <w:p w14:paraId="480F3367">
            <w:pPr>
              <w:autoSpaceDE w:val="0"/>
              <w:autoSpaceDN w:val="0"/>
              <w:adjustRightInd w:val="0"/>
              <w:snapToGrid w:val="0"/>
              <w:spacing w:line="400" w:lineRule="exact"/>
              <w:ind w:firstLine="420" w:firstLineChars="200"/>
              <w:rPr>
                <w:color w:val="auto"/>
                <w:highlight w:val="none"/>
              </w:rPr>
            </w:pPr>
            <w:r>
              <w:rPr>
                <w:color w:val="auto"/>
                <w:highlight w:val="none"/>
              </w:rPr>
              <w:t>（</w:t>
            </w:r>
            <w:r>
              <w:rPr>
                <w:rFonts w:hint="eastAsia"/>
                <w:color w:val="auto"/>
                <w:highlight w:val="none"/>
              </w:rPr>
              <w:t>3</w:t>
            </w:r>
            <w:r>
              <w:rPr>
                <w:color w:val="auto"/>
                <w:highlight w:val="none"/>
              </w:rPr>
              <w:t>）委托代理人</w:t>
            </w:r>
            <w:r>
              <w:rPr>
                <w:rFonts w:hint="eastAsia"/>
                <w:color w:val="auto"/>
                <w:highlight w:val="none"/>
              </w:rPr>
              <w:t>：</w:t>
            </w:r>
          </w:p>
          <w:p w14:paraId="10BF4301">
            <w:pPr>
              <w:autoSpaceDE w:val="0"/>
              <w:autoSpaceDN w:val="0"/>
              <w:adjustRightInd w:val="0"/>
              <w:snapToGrid w:val="0"/>
              <w:spacing w:line="400" w:lineRule="exact"/>
              <w:ind w:firstLine="420" w:firstLineChars="200"/>
              <w:rPr>
                <w:rFonts w:hint="eastAsia"/>
                <w:color w:val="auto"/>
                <w:highlight w:val="none"/>
                <w:lang w:eastAsia="zh-CN"/>
              </w:rPr>
            </w:pPr>
            <w:r>
              <w:rPr>
                <w:color w:val="auto"/>
                <w:highlight w:val="none"/>
              </w:rPr>
              <w:t>委托代理人必须为</w:t>
            </w:r>
            <w:r>
              <w:rPr>
                <w:rFonts w:hint="eastAsia"/>
                <w:color w:val="auto"/>
                <w:highlight w:val="none"/>
              </w:rPr>
              <w:t>竞选</w:t>
            </w:r>
            <w:r>
              <w:rPr>
                <w:color w:val="auto"/>
                <w:highlight w:val="none"/>
              </w:rPr>
              <w:t>人本单位</w:t>
            </w:r>
            <w:r>
              <w:rPr>
                <w:rFonts w:hint="eastAsia"/>
                <w:color w:val="auto"/>
                <w:highlight w:val="none"/>
              </w:rPr>
              <w:t>人员</w:t>
            </w:r>
            <w:r>
              <w:rPr>
                <w:rFonts w:hint="eastAsia"/>
                <w:color w:val="auto"/>
                <w:highlight w:val="none"/>
                <w:lang w:eastAsia="zh-CN"/>
              </w:rPr>
              <w:t>。</w:t>
            </w:r>
          </w:p>
          <w:p w14:paraId="6C1E2A10">
            <w:pPr>
              <w:autoSpaceDE w:val="0"/>
              <w:autoSpaceDN w:val="0"/>
              <w:adjustRightInd w:val="0"/>
              <w:snapToGrid w:val="0"/>
              <w:spacing w:line="400" w:lineRule="exact"/>
              <w:ind w:firstLine="415" w:firstLineChars="198"/>
              <w:rPr>
                <w:rFonts w:hint="eastAsia"/>
                <w:color w:val="auto"/>
                <w:highlight w:val="none"/>
              </w:rPr>
            </w:pPr>
            <w:r>
              <w:rPr>
                <w:rFonts w:hint="eastAsia"/>
                <w:color w:val="auto"/>
                <w:highlight w:val="none"/>
              </w:rPr>
              <w:t xml:space="preserve"> 特别说明：</w:t>
            </w:r>
          </w:p>
          <w:p w14:paraId="3598DB48">
            <w:pPr>
              <w:keepNext w:val="0"/>
              <w:keepLines w:val="0"/>
              <w:widowControl/>
              <w:suppressLineNumbers w:val="0"/>
              <w:ind w:firstLine="420" w:firstLineChars="200"/>
              <w:jc w:val="left"/>
              <w:rPr>
                <w:rFonts w:hint="eastAsia"/>
                <w:color w:val="auto"/>
                <w:highlight w:val="none"/>
              </w:rPr>
            </w:pPr>
            <w:r>
              <w:rPr>
                <w:rFonts w:hint="eastAsia"/>
                <w:color w:val="auto"/>
                <w:highlight w:val="none"/>
              </w:rPr>
              <w:t>（1）</w:t>
            </w:r>
            <w:r>
              <w:rPr>
                <w:rFonts w:hint="eastAsia"/>
                <w:color w:val="auto"/>
                <w:highlight w:val="none"/>
                <w:lang w:eastAsia="zh-CN"/>
              </w:rPr>
              <w:t>上</w:t>
            </w:r>
            <w:r>
              <w:rPr>
                <w:rFonts w:hint="eastAsia"/>
                <w:color w:val="auto"/>
                <w:highlight w:val="none"/>
              </w:rPr>
              <w:t>述相关证明材料复印件均应加盖比选单位公章。以上1～</w:t>
            </w:r>
            <w:r>
              <w:rPr>
                <w:rFonts w:hint="eastAsia"/>
                <w:color w:val="auto"/>
                <w:highlight w:val="none"/>
                <w:lang w:val="en-US" w:eastAsia="zh-CN"/>
              </w:rPr>
              <w:t>5</w:t>
            </w:r>
            <w:r>
              <w:rPr>
                <w:rFonts w:hint="eastAsia"/>
                <w:color w:val="auto"/>
                <w:highlight w:val="none"/>
              </w:rPr>
              <w:t>条，有一条不满足，则由比选小组作否决投标处理。竞选文件中对养老保险的要求为：</w:t>
            </w:r>
            <w:r>
              <w:rPr>
                <w:rFonts w:hint="eastAsia"/>
                <w:color w:val="auto"/>
                <w:highlight w:val="none"/>
                <w:lang w:val="en-US" w:eastAsia="zh-CN"/>
              </w:rPr>
              <w:t>所有人员</w:t>
            </w:r>
            <w:r>
              <w:rPr>
                <w:rFonts w:hint="eastAsia"/>
                <w:color w:val="auto"/>
                <w:highlight w:val="none"/>
              </w:rPr>
              <w:t>养老保险证明期限为</w:t>
            </w:r>
            <w:r>
              <w:rPr>
                <w:rFonts w:hint="eastAsia"/>
                <w:color w:val="auto"/>
                <w:highlight w:val="none"/>
                <w:lang w:eastAsia="zh-CN"/>
              </w:rPr>
              <w:t>2025年</w:t>
            </w:r>
            <w:r>
              <w:rPr>
                <w:rFonts w:hint="eastAsia"/>
                <w:color w:val="auto"/>
                <w:highlight w:val="none"/>
                <w:lang w:val="en-US" w:eastAsia="zh-CN"/>
              </w:rPr>
              <w:t>5</w:t>
            </w:r>
            <w:r>
              <w:rPr>
                <w:rFonts w:hint="eastAsia"/>
                <w:color w:val="auto"/>
                <w:highlight w:val="none"/>
                <w:lang w:eastAsia="zh-CN"/>
              </w:rPr>
              <w:t>月至2025年</w:t>
            </w:r>
            <w:r>
              <w:rPr>
                <w:rFonts w:hint="eastAsia"/>
                <w:color w:val="auto"/>
                <w:highlight w:val="none"/>
                <w:lang w:val="en-US" w:eastAsia="zh-CN"/>
              </w:rPr>
              <w:t>8月连续社保</w:t>
            </w:r>
            <w:r>
              <w:rPr>
                <w:rFonts w:hint="eastAsia"/>
                <w:color w:val="auto"/>
                <w:highlight w:val="none"/>
              </w:rPr>
              <w:t>的养老保险。提供的养老保险参保证明，必须包含身份证号（或社保号）和参保基本情况、参保缴费明细（养老保险），并带有社保部门公章或社保部门的有效电子印章</w:t>
            </w:r>
            <w:r>
              <w:rPr>
                <w:rFonts w:hint="eastAsia"/>
                <w:color w:val="auto"/>
                <w:highlight w:val="none"/>
                <w:lang w:val="en-US" w:eastAsia="zh-CN"/>
              </w:rPr>
              <w:t>及查询码</w:t>
            </w:r>
            <w:r>
              <w:rPr>
                <w:rFonts w:hint="eastAsia"/>
                <w:color w:val="auto"/>
                <w:highlight w:val="none"/>
              </w:rPr>
              <w:t>。</w:t>
            </w:r>
          </w:p>
          <w:p w14:paraId="3FAE344D">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2）比选人在评标及比选有效期内均有权对竞选人提供的以上资料（证明和证件的原件或复印件）进行核实，若发现资料存在虚假不实，按照相关法律法规处理，竞选人承担因此造成的相关责任并赔偿相应损失。</w:t>
            </w:r>
          </w:p>
          <w:p w14:paraId="7F48AB50">
            <w:pPr>
              <w:spacing w:line="400" w:lineRule="exact"/>
              <w:ind w:firstLine="420"/>
              <w:rPr>
                <w:rFonts w:hint="eastAsia"/>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）比选人及代理机构在项目发包现场登录“信用中国”网站（http://www.creditchina.gov.cn/）对竞选人的信用信息进行查询，凡是因严重失信行为被列入失信联合惩戒名单（失信 “黑名单”）的竞选人，不得参加发包活动，并如实记录送比选小组评审。</w:t>
            </w:r>
          </w:p>
          <w:p w14:paraId="1412367C">
            <w:pPr>
              <w:pStyle w:val="2"/>
              <w:ind w:firstLine="420" w:firstLineChars="200"/>
              <w:rPr>
                <w:rFonts w:hint="eastAsia"/>
                <w:highlight w:val="none"/>
              </w:rPr>
            </w:pPr>
            <w:r>
              <w:rPr>
                <w:rFonts w:hint="eastAsia" w:ascii="Times New Roman" w:hAnsi="Times New Roman" w:eastAsia="宋体" w:cs="Times New Roman"/>
                <w:color w:val="auto"/>
                <w:kern w:val="2"/>
                <w:sz w:val="21"/>
                <w:szCs w:val="24"/>
                <w:highlight w:val="none"/>
                <w:lang w:val="en-US" w:eastAsia="zh-CN" w:bidi="ar-SA"/>
              </w:rPr>
              <w:t>注：比选申请文件递交时由竞选人法定代表人或委托代理人持本人身份证原件、法定代表人身份证明原件（委托代理人须持法定代表人授权委托书原件）、资质证书、营业执照、和本单位为其缴纳的</w:t>
            </w:r>
            <w:r>
              <w:rPr>
                <w:rFonts w:hint="eastAsia" w:cs="Times New Roman"/>
                <w:color w:val="auto"/>
                <w:kern w:val="2"/>
                <w:sz w:val="21"/>
                <w:szCs w:val="24"/>
                <w:highlight w:val="none"/>
                <w:lang w:val="en-US" w:eastAsia="zh-CN" w:bidi="ar-SA"/>
              </w:rPr>
              <w:t>2025年5月至2025年8</w:t>
            </w:r>
            <w:r>
              <w:rPr>
                <w:rFonts w:hint="eastAsia" w:ascii="Times New Roman" w:hAnsi="Times New Roman" w:eastAsia="宋体" w:cs="Times New Roman"/>
                <w:color w:val="auto"/>
                <w:kern w:val="2"/>
                <w:sz w:val="21"/>
                <w:szCs w:val="24"/>
                <w:highlight w:val="none"/>
                <w:lang w:val="en-US" w:eastAsia="zh-CN" w:bidi="ar-SA"/>
              </w:rPr>
              <w:t>月连续社保的养老保险（复印件加盖公章）。</w:t>
            </w:r>
          </w:p>
        </w:tc>
      </w:tr>
      <w:tr w14:paraId="3FF4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188" w:type="dxa"/>
            <w:noWrap w:val="0"/>
            <w:vAlign w:val="center"/>
          </w:tcPr>
          <w:p w14:paraId="569712F8">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w:t>
            </w:r>
          </w:p>
        </w:tc>
        <w:tc>
          <w:tcPr>
            <w:tcW w:w="1897" w:type="dxa"/>
            <w:noWrap w:val="0"/>
            <w:vAlign w:val="center"/>
          </w:tcPr>
          <w:p w14:paraId="1DD1DE24">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6662" w:type="dxa"/>
            <w:noWrap w:val="0"/>
            <w:vAlign w:val="center"/>
          </w:tcPr>
          <w:p w14:paraId="5F5BD318">
            <w:pPr>
              <w:snapToGrid w:val="0"/>
              <w:spacing w:line="4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不组织</w:t>
            </w:r>
          </w:p>
        </w:tc>
      </w:tr>
      <w:tr w14:paraId="57B2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18D1C40A">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w:t>
            </w:r>
          </w:p>
        </w:tc>
        <w:tc>
          <w:tcPr>
            <w:tcW w:w="1897" w:type="dxa"/>
            <w:noWrap w:val="0"/>
            <w:vAlign w:val="center"/>
          </w:tcPr>
          <w:p w14:paraId="45D24C90">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竞选人提出问题的截止时间</w:t>
            </w:r>
          </w:p>
        </w:tc>
        <w:tc>
          <w:tcPr>
            <w:tcW w:w="6662" w:type="dxa"/>
            <w:noWrap w:val="0"/>
            <w:vAlign w:val="center"/>
          </w:tcPr>
          <w:p w14:paraId="71CA515E">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 xml:space="preserve">   竞选人应仔细检查比选文件的所有内容，如有残缺或文字表述不清，图纸尺寸标注不明以及存在错、碰、漏、缺、概念模糊和有可能出现歧义或理解上的偏差的内容等应在</w:t>
            </w:r>
            <w:r>
              <w:rPr>
                <w:rFonts w:hint="eastAsia" w:ascii="宋体" w:hAnsi="宋体" w:cs="宋体"/>
                <w:color w:val="000000" w:themeColor="text1"/>
                <w:szCs w:val="21"/>
                <w:highlight w:val="none"/>
                <w:u w:val="single"/>
                <w14:textFill>
                  <w14:solidFill>
                    <w14:schemeClr w14:val="tx1"/>
                  </w14:solidFill>
                </w14:textFill>
              </w:rPr>
              <w:t>202</w:t>
            </w:r>
            <w:r>
              <w:rPr>
                <w:rFonts w:hint="eastAsia" w:ascii="宋体" w:hAnsi="宋体" w:cs="宋体"/>
                <w:color w:val="000000" w:themeColor="text1"/>
                <w:szCs w:val="21"/>
                <w:highlight w:val="none"/>
                <w:u w:val="singl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19</w:t>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u w:val="single"/>
                <w14:textFill>
                  <w14:solidFill>
                    <w14:schemeClr w14:val="tx1"/>
                  </w14:solidFill>
                </w14:textFill>
              </w:rPr>
              <w:t>12：0</w:t>
            </w:r>
            <w:r>
              <w:rPr>
                <w:rFonts w:hint="eastAsia" w:ascii="宋体" w:hAnsi="宋体" w:cs="宋体"/>
                <w:color w:val="auto"/>
                <w:szCs w:val="21"/>
                <w:highlight w:val="none"/>
                <w:u w:val="single"/>
              </w:rPr>
              <w:t>0</w:t>
            </w:r>
            <w:r>
              <w:rPr>
                <w:rFonts w:hint="eastAsia" w:ascii="宋体" w:hAnsi="宋体" w:cs="宋体"/>
                <w:color w:val="auto"/>
                <w:szCs w:val="21"/>
                <w:highlight w:val="none"/>
              </w:rPr>
              <w:t>前以书面的形式提交给比选代理机构。</w:t>
            </w:r>
          </w:p>
        </w:tc>
      </w:tr>
      <w:tr w14:paraId="7069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78EBCD5C">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w:t>
            </w:r>
          </w:p>
        </w:tc>
        <w:tc>
          <w:tcPr>
            <w:tcW w:w="1897" w:type="dxa"/>
            <w:noWrap w:val="0"/>
            <w:vAlign w:val="center"/>
          </w:tcPr>
          <w:p w14:paraId="4538F254">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比选人书面澄清、修改的时间</w:t>
            </w:r>
          </w:p>
        </w:tc>
        <w:tc>
          <w:tcPr>
            <w:tcW w:w="6662" w:type="dxa"/>
            <w:noWrap w:val="0"/>
            <w:vAlign w:val="center"/>
          </w:tcPr>
          <w:p w14:paraId="3FA9A308">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如比选人有必要对比选文件内容进行澄清的，将</w:t>
            </w:r>
            <w:r>
              <w:rPr>
                <w:rFonts w:hint="eastAsia" w:ascii="宋体" w:hAnsi="宋体" w:cs="宋体"/>
                <w:color w:val="000000" w:themeColor="text1"/>
                <w:szCs w:val="21"/>
                <w:highlight w:val="none"/>
                <w14:textFill>
                  <w14:solidFill>
                    <w14:schemeClr w14:val="tx1"/>
                  </w14:solidFill>
                </w14:textFill>
              </w:rPr>
              <w:t>在</w:t>
            </w:r>
            <w:r>
              <w:rPr>
                <w:rFonts w:hint="eastAsia" w:ascii="宋体" w:hAnsi="宋体" w:cs="宋体"/>
                <w:color w:val="000000" w:themeColor="text1"/>
                <w:szCs w:val="21"/>
                <w:highlight w:val="none"/>
                <w:u w:val="single"/>
                <w14:textFill>
                  <w14:solidFill>
                    <w14:schemeClr w14:val="tx1"/>
                  </w14:solidFill>
                </w14:textFill>
              </w:rPr>
              <w:t>202</w:t>
            </w:r>
            <w:r>
              <w:rPr>
                <w:rFonts w:hint="eastAsia" w:ascii="宋体" w:hAnsi="宋体" w:cs="宋体"/>
                <w:color w:val="000000" w:themeColor="text1"/>
                <w:szCs w:val="21"/>
                <w:highlight w:val="none"/>
                <w:u w:val="singl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22</w:t>
            </w:r>
            <w:r>
              <w:rPr>
                <w:rFonts w:hint="eastAsia" w:ascii="宋体" w:hAnsi="宋体" w:cs="宋体"/>
                <w:color w:val="auto"/>
                <w:szCs w:val="21"/>
                <w:highlight w:val="none"/>
              </w:rPr>
              <w:t>日</w:t>
            </w:r>
            <w:r>
              <w:rPr>
                <w:rFonts w:hint="eastAsia" w:ascii="宋体" w:hAnsi="宋体" w:cs="宋体"/>
                <w:color w:val="auto"/>
                <w:szCs w:val="21"/>
                <w:highlight w:val="none"/>
                <w:u w:val="single"/>
              </w:rPr>
              <w:t>12：00（北京时间</w:t>
            </w:r>
            <w:r>
              <w:rPr>
                <w:rFonts w:hint="eastAsia" w:ascii="宋体" w:hAnsi="宋体" w:cs="宋体"/>
                <w:color w:val="auto"/>
                <w:szCs w:val="21"/>
                <w:highlight w:val="none"/>
              </w:rPr>
              <w:t>），比选人或比选代理机构在</w:t>
            </w:r>
            <w:r>
              <w:rPr>
                <w:rFonts w:hint="eastAsia" w:ascii="宋体" w:hAnsi="宋体" w:eastAsia="宋体" w:cs="宋体"/>
                <w:color w:val="auto"/>
                <w:sz w:val="21"/>
                <w:szCs w:val="21"/>
                <w:highlight w:val="none"/>
                <w:u w:val="single"/>
              </w:rPr>
              <w:t>重庆九黎旅游控股集团公司网</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http://www.cqjljt.com/Index.shtml</w:t>
            </w:r>
            <w:r>
              <w:rPr>
                <w:rFonts w:hint="eastAsia" w:ascii="宋体" w:hAnsi="宋体" w:eastAsia="宋体" w:cs="宋体"/>
                <w:color w:val="auto"/>
                <w:sz w:val="21"/>
                <w:szCs w:val="21"/>
                <w:highlight w:val="none"/>
                <w:u w:val="single"/>
                <w:lang w:eastAsia="zh-CN"/>
              </w:rPr>
              <w:t>）</w:t>
            </w:r>
            <w:r>
              <w:rPr>
                <w:rFonts w:hint="eastAsia" w:ascii="宋体" w:hAnsi="宋体" w:cs="宋体"/>
                <w:color w:val="auto"/>
                <w:szCs w:val="21"/>
                <w:highlight w:val="none"/>
              </w:rPr>
              <w:t>上发布补疑（遗），如补疑（遗）内容影响竞选文件制作的，将相应延长竞选文件递交时间。</w:t>
            </w:r>
          </w:p>
        </w:tc>
      </w:tr>
      <w:tr w14:paraId="0310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noWrap w:val="0"/>
            <w:vAlign w:val="center"/>
          </w:tcPr>
          <w:p w14:paraId="7D9E1CDB">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14</w:t>
            </w:r>
          </w:p>
        </w:tc>
        <w:tc>
          <w:tcPr>
            <w:tcW w:w="1897" w:type="dxa"/>
            <w:noWrap w:val="0"/>
            <w:vAlign w:val="center"/>
          </w:tcPr>
          <w:p w14:paraId="5C847BE4">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分包</w:t>
            </w:r>
          </w:p>
        </w:tc>
        <w:tc>
          <w:tcPr>
            <w:tcW w:w="6662" w:type="dxa"/>
            <w:noWrap w:val="0"/>
            <w:vAlign w:val="center"/>
          </w:tcPr>
          <w:p w14:paraId="0928A7EB">
            <w:pPr>
              <w:snapToGrid w:val="0"/>
              <w:spacing w:line="4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不允许</w:t>
            </w:r>
          </w:p>
        </w:tc>
      </w:tr>
      <w:tr w14:paraId="2CD8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20F5EEBC">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15</w:t>
            </w:r>
          </w:p>
        </w:tc>
        <w:tc>
          <w:tcPr>
            <w:tcW w:w="1897" w:type="dxa"/>
            <w:noWrap w:val="0"/>
            <w:vAlign w:val="center"/>
          </w:tcPr>
          <w:p w14:paraId="23621765">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构成比选文件的其他材料</w:t>
            </w:r>
          </w:p>
        </w:tc>
        <w:tc>
          <w:tcPr>
            <w:tcW w:w="6662" w:type="dxa"/>
            <w:noWrap w:val="0"/>
            <w:vAlign w:val="center"/>
          </w:tcPr>
          <w:p w14:paraId="12B6C785">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比选人发出的答疑、澄清或比选文件的修改（若有）等；</w:t>
            </w:r>
          </w:p>
        </w:tc>
      </w:tr>
      <w:tr w14:paraId="2F60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noWrap w:val="0"/>
            <w:vAlign w:val="center"/>
          </w:tcPr>
          <w:p w14:paraId="68B0D30F">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16</w:t>
            </w:r>
          </w:p>
        </w:tc>
        <w:tc>
          <w:tcPr>
            <w:tcW w:w="1897" w:type="dxa"/>
            <w:noWrap w:val="0"/>
            <w:vAlign w:val="center"/>
          </w:tcPr>
          <w:p w14:paraId="3FE45FF8">
            <w:pPr>
              <w:autoSpaceDE w:val="0"/>
              <w:autoSpaceDN w:val="0"/>
              <w:adjustRightInd w:val="0"/>
              <w:snapToGrid w:val="0"/>
              <w:spacing w:line="420" w:lineRule="exact"/>
              <w:jc w:val="left"/>
              <w:rPr>
                <w:rFonts w:hint="eastAsia" w:ascii="宋体" w:hAnsi="宋体" w:cs="宋体"/>
                <w:color w:val="auto"/>
                <w:kern w:val="0"/>
                <w:szCs w:val="21"/>
                <w:highlight w:val="none"/>
              </w:rPr>
            </w:pPr>
            <w:r>
              <w:rPr>
                <w:rFonts w:hint="eastAsia" w:ascii="宋体" w:hAnsi="宋体" w:cs="MingLiU"/>
                <w:snapToGrid w:val="0"/>
                <w:color w:val="auto"/>
                <w:kern w:val="0"/>
                <w:szCs w:val="21"/>
                <w:highlight w:val="none"/>
              </w:rPr>
              <w:t>竞选文件的组成</w:t>
            </w:r>
          </w:p>
        </w:tc>
        <w:tc>
          <w:tcPr>
            <w:tcW w:w="6662" w:type="dxa"/>
            <w:noWrap w:val="0"/>
            <w:vAlign w:val="center"/>
          </w:tcPr>
          <w:p w14:paraId="74A8F663">
            <w:pPr>
              <w:widowControl/>
              <w:spacing w:line="360" w:lineRule="auto"/>
              <w:jc w:val="left"/>
              <w:textAlignment w:val="baseline"/>
              <w:rPr>
                <w:rFonts w:hint="eastAsia" w:ascii="宋体" w:hAnsi="宋体"/>
                <w:color w:val="auto"/>
                <w:highlight w:val="none"/>
              </w:rPr>
            </w:pPr>
            <w:r>
              <w:rPr>
                <w:rFonts w:hint="eastAsia" w:ascii="宋体" w:hAnsi="宋体"/>
                <w:color w:val="auto"/>
                <w:highlight w:val="none"/>
              </w:rPr>
              <w:t>由竞选保函部分（如有）、竞选函部分、资格审查部分</w:t>
            </w:r>
            <w:r>
              <w:rPr>
                <w:rFonts w:hint="eastAsia" w:ascii="宋体" w:hAnsi="宋体"/>
                <w:color w:val="auto"/>
                <w:highlight w:val="none"/>
                <w:lang w:eastAsia="zh-CN"/>
              </w:rPr>
              <w:t>、</w:t>
            </w:r>
            <w:r>
              <w:rPr>
                <w:rFonts w:hint="eastAsia" w:ascii="宋体" w:hAnsi="宋体"/>
                <w:color w:val="auto"/>
                <w:highlight w:val="none"/>
                <w:lang w:val="en-US" w:eastAsia="zh-CN"/>
              </w:rPr>
              <w:t>经济部分</w:t>
            </w:r>
            <w:r>
              <w:rPr>
                <w:rFonts w:hint="eastAsia" w:ascii="宋体" w:hAnsi="宋体"/>
                <w:color w:val="auto"/>
                <w:highlight w:val="none"/>
              </w:rPr>
              <w:t>组成。</w:t>
            </w:r>
          </w:p>
        </w:tc>
      </w:tr>
      <w:tr w14:paraId="5C9D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188" w:type="dxa"/>
            <w:noWrap w:val="0"/>
            <w:vAlign w:val="center"/>
          </w:tcPr>
          <w:p w14:paraId="2871EDAD">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1897" w:type="dxa"/>
            <w:noWrap w:val="0"/>
            <w:vAlign w:val="center"/>
          </w:tcPr>
          <w:p w14:paraId="43FCEF5B">
            <w:pPr>
              <w:tabs>
                <w:tab w:val="left" w:pos="546"/>
                <w:tab w:val="left" w:pos="711"/>
              </w:tabs>
              <w:snapToGrid w:val="0"/>
              <w:spacing w:line="420" w:lineRule="exact"/>
              <w:ind w:firstLine="420" w:firstLineChars="200"/>
              <w:jc w:val="left"/>
              <w:rPr>
                <w:rFonts w:hint="eastAsia" w:ascii="宋体" w:hAnsi="宋体"/>
                <w:color w:val="auto"/>
                <w:highlight w:val="none"/>
              </w:rPr>
            </w:pPr>
            <w:r>
              <w:rPr>
                <w:rFonts w:hint="eastAsia" w:ascii="宋体" w:hAnsi="宋体"/>
                <w:color w:val="auto"/>
                <w:highlight w:val="none"/>
              </w:rPr>
              <w:t>比选报价</w:t>
            </w:r>
          </w:p>
        </w:tc>
        <w:tc>
          <w:tcPr>
            <w:tcW w:w="6662" w:type="dxa"/>
            <w:noWrap w:val="0"/>
            <w:vAlign w:val="center"/>
          </w:tcPr>
          <w:p w14:paraId="605E8F63">
            <w:pPr>
              <w:widowControl/>
              <w:numPr>
                <w:ilvl w:val="0"/>
                <w:numId w:val="3"/>
              </w:numPr>
              <w:spacing w:line="360" w:lineRule="auto"/>
              <w:ind w:firstLine="420" w:firstLineChars="200"/>
              <w:textAlignment w:val="baseline"/>
              <w:rPr>
                <w:rFonts w:hint="eastAsia"/>
                <w:color w:val="auto"/>
                <w:highlight w:val="none"/>
                <w:lang w:val="en-US" w:eastAsia="zh-CN"/>
              </w:rPr>
            </w:pPr>
            <w:r>
              <w:rPr>
                <w:rFonts w:hint="eastAsia"/>
                <w:color w:val="auto"/>
                <w:highlight w:val="none"/>
              </w:rPr>
              <w:t>本</w:t>
            </w:r>
            <w:r>
              <w:rPr>
                <w:rFonts w:hint="eastAsia"/>
                <w:color w:val="auto"/>
                <w:highlight w:val="none"/>
                <w:lang w:val="en-US" w:eastAsia="zh-CN"/>
              </w:rPr>
              <w:t>工程计价形式：</w:t>
            </w:r>
          </w:p>
          <w:p w14:paraId="31585C94">
            <w:pPr>
              <w:widowControl/>
              <w:numPr>
                <w:ilvl w:val="0"/>
                <w:numId w:val="0"/>
              </w:numPr>
              <w:spacing w:line="360" w:lineRule="auto"/>
              <w:ind w:firstLine="210" w:firstLineChars="100"/>
              <w:textAlignment w:val="baseline"/>
              <w:rPr>
                <w:rFonts w:hint="eastAsia"/>
                <w:color w:val="auto"/>
                <w:highlight w:val="none"/>
              </w:rPr>
            </w:pPr>
            <w:r>
              <w:rPr>
                <w:rFonts w:hint="eastAsia"/>
                <w:color w:val="auto"/>
                <w:highlight w:val="none"/>
                <w:lang w:val="en-US" w:eastAsia="zh-CN"/>
              </w:rPr>
              <w:t>（1）</w:t>
            </w:r>
            <w:r>
              <w:rPr>
                <w:rFonts w:hint="eastAsia"/>
                <w:color w:val="auto"/>
                <w:highlight w:val="none"/>
              </w:rPr>
              <w:t>采用</w:t>
            </w:r>
            <w:r>
              <w:rPr>
                <w:rFonts w:hint="eastAsia"/>
                <w:color w:val="auto"/>
                <w:highlight w:val="none"/>
                <w:lang w:val="en-US" w:eastAsia="zh-CN"/>
              </w:rPr>
              <w:t>工程量清单</w:t>
            </w:r>
            <w:r>
              <w:rPr>
                <w:rFonts w:hint="eastAsia"/>
                <w:color w:val="auto"/>
                <w:highlight w:val="none"/>
              </w:rPr>
              <w:t>计价</w:t>
            </w:r>
            <w:r>
              <w:rPr>
                <w:rFonts w:hint="eastAsia"/>
                <w:color w:val="auto"/>
                <w:highlight w:val="none"/>
                <w:lang w:eastAsia="zh-CN"/>
              </w:rPr>
              <w:t>，投标人的</w:t>
            </w:r>
            <w:r>
              <w:rPr>
                <w:rFonts w:hint="eastAsia"/>
                <w:color w:val="auto"/>
                <w:highlight w:val="none"/>
                <w:lang w:val="en-US" w:eastAsia="zh-CN"/>
              </w:rPr>
              <w:t>工程量清单计</w:t>
            </w:r>
            <w:r>
              <w:rPr>
                <w:rFonts w:hint="eastAsia"/>
                <w:color w:val="auto"/>
                <w:highlight w:val="none"/>
              </w:rPr>
              <w:t>价</w:t>
            </w:r>
            <w:r>
              <w:rPr>
                <w:rFonts w:hint="eastAsia"/>
                <w:color w:val="auto"/>
                <w:highlight w:val="none"/>
                <w:lang w:eastAsia="zh-CN"/>
              </w:rPr>
              <w:t>的</w:t>
            </w:r>
            <w:r>
              <w:rPr>
                <w:rFonts w:hint="eastAsia"/>
                <w:color w:val="auto"/>
                <w:highlight w:val="none"/>
                <w:lang w:val="en-US" w:eastAsia="zh-CN"/>
              </w:rPr>
              <w:t>总价</w:t>
            </w:r>
            <w:r>
              <w:rPr>
                <w:rFonts w:hint="eastAsia"/>
                <w:color w:val="auto"/>
                <w:highlight w:val="none"/>
                <w:lang w:eastAsia="zh-CN"/>
              </w:rPr>
              <w:t>包括完成招标范围内工程项目的人工费、材料费、机械费、试验费、企业管理费、利润、风险费、措施费、规费、税金及政策性文件规定的所有费用、</w:t>
            </w:r>
            <w:r>
              <w:rPr>
                <w:rFonts w:hint="eastAsia"/>
                <w:color w:val="auto"/>
                <w:highlight w:val="none"/>
                <w:lang w:val="zh-CN"/>
              </w:rPr>
              <w:t>市场价格波动风险</w:t>
            </w:r>
            <w:r>
              <w:rPr>
                <w:rFonts w:hint="eastAsia"/>
                <w:color w:val="auto"/>
                <w:highlight w:val="none"/>
                <w:lang w:eastAsia="zh-CN"/>
              </w:rPr>
              <w:t>，以及项目所在地建设行政主管部门要求的智慧工地管理费，施工和竣工交付阶段的相关费用</w:t>
            </w:r>
            <w:r>
              <w:rPr>
                <w:rFonts w:hint="eastAsia"/>
                <w:color w:val="auto"/>
                <w:highlight w:val="none"/>
                <w:lang w:val="en-US" w:eastAsia="zh-CN"/>
              </w:rPr>
              <w:t>和</w:t>
            </w:r>
            <w:r>
              <w:rPr>
                <w:rFonts w:hint="eastAsia"/>
                <w:color w:val="auto"/>
                <w:highlight w:val="none"/>
                <w:lang w:val="zh-CN"/>
              </w:rPr>
              <w:t>比选文件和合同明示或暗示的应由承包人承担的所有责任、义务和风险等所需的一切费用。</w:t>
            </w:r>
          </w:p>
          <w:p w14:paraId="5FF6F115">
            <w:pPr>
              <w:widowControl/>
              <w:spacing w:line="360" w:lineRule="auto"/>
              <w:ind w:firstLine="210" w:firstLineChars="100"/>
              <w:textAlignment w:val="baseline"/>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竞选人应根据</w:t>
            </w:r>
            <w:r>
              <w:rPr>
                <w:rFonts w:hint="eastAsia" w:ascii="宋体" w:hAnsi="宋体" w:eastAsia="宋体" w:cs="宋体"/>
                <w:color w:val="auto"/>
                <w:highlight w:val="none"/>
                <w:lang w:val="en-US" w:eastAsia="zh-CN"/>
              </w:rPr>
              <w:t>《建设工程工程量清单计价规范》（GB50500-2013）、</w:t>
            </w:r>
            <w:r>
              <w:rPr>
                <w:rFonts w:hint="eastAsia"/>
                <w:color w:val="auto"/>
                <w:highlight w:val="none"/>
              </w:rPr>
              <w:t>《重庆市</w:t>
            </w:r>
            <w:r>
              <w:rPr>
                <w:rFonts w:hint="eastAsia"/>
                <w:color w:val="auto"/>
                <w:highlight w:val="none"/>
                <w:lang w:val="en-US" w:eastAsia="zh-CN"/>
              </w:rPr>
              <w:t>市政</w:t>
            </w:r>
            <w:r>
              <w:rPr>
                <w:rFonts w:hint="eastAsia"/>
                <w:color w:val="auto"/>
                <w:highlight w:val="none"/>
              </w:rPr>
              <w:t>工程计价定额》</w:t>
            </w:r>
            <w:r>
              <w:rPr>
                <w:rFonts w:hint="eastAsia"/>
                <w:color w:val="auto"/>
                <w:highlight w:val="none"/>
                <w:lang w:val="en-US" w:eastAsia="zh-CN"/>
              </w:rPr>
              <w:t>CQSZDE-</w:t>
            </w:r>
            <w:r>
              <w:rPr>
                <w:rFonts w:hint="eastAsia"/>
                <w:color w:val="auto"/>
                <w:highlight w:val="none"/>
              </w:rPr>
              <w:t>2018、《重庆市</w:t>
            </w:r>
            <w:r>
              <w:rPr>
                <w:rFonts w:hint="eastAsia"/>
                <w:color w:val="auto"/>
                <w:highlight w:val="none"/>
                <w:lang w:val="en-US" w:eastAsia="zh-CN"/>
              </w:rPr>
              <w:t>房屋</w:t>
            </w:r>
            <w:r>
              <w:rPr>
                <w:rFonts w:hint="eastAsia"/>
                <w:color w:val="auto"/>
                <w:highlight w:val="none"/>
              </w:rPr>
              <w:t>建筑</w:t>
            </w:r>
            <w:r>
              <w:rPr>
                <w:rFonts w:hint="eastAsia"/>
                <w:color w:val="auto"/>
                <w:highlight w:val="none"/>
                <w:lang w:val="en-US" w:eastAsia="zh-CN"/>
              </w:rPr>
              <w:t>与装饰</w:t>
            </w:r>
            <w:r>
              <w:rPr>
                <w:rFonts w:hint="eastAsia"/>
                <w:color w:val="auto"/>
                <w:highlight w:val="none"/>
              </w:rPr>
              <w:t>工程计价定额》</w:t>
            </w:r>
            <w:r>
              <w:rPr>
                <w:rFonts w:hint="eastAsia"/>
                <w:color w:val="auto"/>
                <w:highlight w:val="none"/>
                <w:lang w:val="en-US" w:eastAsia="zh-CN"/>
              </w:rPr>
              <w:t>CQJZZSDE-</w:t>
            </w:r>
            <w:r>
              <w:rPr>
                <w:rFonts w:hint="eastAsia"/>
                <w:color w:val="auto"/>
                <w:highlight w:val="none"/>
              </w:rPr>
              <w:t>2018、《重庆市</w:t>
            </w:r>
            <w:r>
              <w:rPr>
                <w:rFonts w:hint="eastAsia"/>
                <w:color w:val="auto"/>
                <w:highlight w:val="none"/>
                <w:lang w:val="en-US" w:eastAsia="zh-CN"/>
              </w:rPr>
              <w:t>通用安装</w:t>
            </w:r>
            <w:r>
              <w:rPr>
                <w:rFonts w:hint="eastAsia"/>
                <w:color w:val="auto"/>
                <w:highlight w:val="none"/>
              </w:rPr>
              <w:t>工程计价定额》</w:t>
            </w:r>
            <w:r>
              <w:rPr>
                <w:rFonts w:hint="eastAsia"/>
                <w:color w:val="auto"/>
                <w:highlight w:val="none"/>
                <w:lang w:val="en-US" w:eastAsia="zh-CN"/>
              </w:rPr>
              <w:t>CQTYAZDE-</w:t>
            </w:r>
            <w:r>
              <w:rPr>
                <w:rFonts w:hint="eastAsia"/>
                <w:color w:val="auto"/>
                <w:highlight w:val="none"/>
              </w:rPr>
              <w:t>2018、《重庆市</w:t>
            </w:r>
            <w:r>
              <w:rPr>
                <w:rFonts w:hint="eastAsia"/>
                <w:color w:val="auto"/>
                <w:highlight w:val="none"/>
                <w:lang w:val="en-US" w:eastAsia="zh-CN"/>
              </w:rPr>
              <w:t>房屋修缮</w:t>
            </w:r>
            <w:r>
              <w:rPr>
                <w:rFonts w:hint="eastAsia"/>
                <w:color w:val="auto"/>
                <w:highlight w:val="none"/>
              </w:rPr>
              <w:t>工程计价定额》</w:t>
            </w:r>
            <w:r>
              <w:rPr>
                <w:rFonts w:hint="eastAsia"/>
                <w:color w:val="auto"/>
                <w:highlight w:val="none"/>
                <w:lang w:val="en-US" w:eastAsia="zh-CN"/>
              </w:rPr>
              <w:t>CQFWXSDE-</w:t>
            </w:r>
            <w:r>
              <w:rPr>
                <w:rFonts w:hint="eastAsia"/>
                <w:color w:val="auto"/>
                <w:highlight w:val="none"/>
              </w:rPr>
              <w:t>2018</w:t>
            </w:r>
            <w:r>
              <w:rPr>
                <w:rFonts w:hint="eastAsia"/>
                <w:color w:val="auto"/>
                <w:highlight w:val="none"/>
                <w:lang w:eastAsia="zh-CN"/>
              </w:rPr>
              <w:t>、</w:t>
            </w:r>
            <w:r>
              <w:rPr>
                <w:rFonts w:hint="eastAsia"/>
                <w:color w:val="auto"/>
                <w:highlight w:val="none"/>
              </w:rPr>
              <w:t>《重庆市建设工程费用定额》</w:t>
            </w:r>
            <w:r>
              <w:rPr>
                <w:rFonts w:hint="eastAsia"/>
                <w:color w:val="auto"/>
                <w:highlight w:val="none"/>
                <w:lang w:val="en-US" w:eastAsia="zh-CN"/>
              </w:rPr>
              <w:t>CQJSGCFYDE-</w:t>
            </w:r>
            <w:r>
              <w:rPr>
                <w:rFonts w:hint="eastAsia"/>
                <w:color w:val="auto"/>
                <w:highlight w:val="none"/>
              </w:rPr>
              <w:t>2018</w:t>
            </w:r>
            <w:r>
              <w:rPr>
                <w:rFonts w:hint="eastAsia"/>
                <w:color w:val="auto"/>
                <w:highlight w:val="none"/>
                <w:lang w:val="en-US" w:eastAsia="zh-CN"/>
              </w:rPr>
              <w:t>等相关定额进行编制及</w:t>
            </w:r>
            <w:r>
              <w:rPr>
                <w:rFonts w:hint="eastAsia"/>
                <w:color w:val="auto"/>
                <w:highlight w:val="none"/>
              </w:rPr>
              <w:t>《重庆市住房和城乡建设委员会关于适用增值税新税率调整建设工程计价依据的通知》（渝建〔2019〕143 号）</w:t>
            </w:r>
            <w:r>
              <w:rPr>
                <w:rFonts w:hint="eastAsia"/>
                <w:color w:val="auto"/>
                <w:highlight w:val="none"/>
                <w:lang w:eastAsia="zh-CN"/>
              </w:rPr>
              <w:t>。</w:t>
            </w:r>
          </w:p>
          <w:p w14:paraId="749A0388">
            <w:pPr>
              <w:widowControl/>
              <w:spacing w:line="360" w:lineRule="auto"/>
              <w:ind w:firstLine="210" w:firstLineChars="100"/>
              <w:textAlignment w:val="baseline"/>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(3)本工程所需材料</w:t>
            </w:r>
            <w:r>
              <w:rPr>
                <w:rFonts w:hint="eastAsia" w:cs="Times New Roman"/>
                <w:color w:val="auto"/>
                <w:highlight w:val="none"/>
                <w:lang w:eastAsia="zh-CN"/>
              </w:rPr>
              <w:t>、</w:t>
            </w:r>
            <w:r>
              <w:rPr>
                <w:rFonts w:hint="eastAsia" w:ascii="Times New Roman" w:hAnsi="Times New Roman" w:eastAsia="宋体" w:cs="Times New Roman"/>
                <w:color w:val="auto"/>
                <w:highlight w:val="none"/>
                <w:lang w:eastAsia="zh-CN"/>
              </w:rPr>
              <w:t>劳务及辅助材料价格由投标人参照重庆市建设工程造价管理总站发布的《重庆工程造价信息》或工程造价管理机构发布的工程造价信息(造价信息引用时限为招标公告发布日期前一期)，并结合市场行情及自身实力进行自主报价。</w:t>
            </w:r>
          </w:p>
          <w:p w14:paraId="26C7DFA1">
            <w:pPr>
              <w:widowControl/>
              <w:spacing w:line="360" w:lineRule="auto"/>
              <w:ind w:firstLine="210" w:firstLineChars="100"/>
              <w:textAlignment w:val="baseline"/>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(4)本工程所采用技术、工艺和产品等必须执行重庆市住房和城乡建设委员会关于发布《重庆市建设领域禁止、限制使用落后技术通告(2019年版)(渝建发[2019]25号)的规定。</w:t>
            </w:r>
          </w:p>
          <w:p w14:paraId="04AE2CC8">
            <w:pPr>
              <w:widowControl/>
              <w:spacing w:line="360" w:lineRule="auto"/>
              <w:ind w:firstLine="210" w:firstLineChars="100"/>
              <w:textAlignment w:val="baseline"/>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(5)竞选人须自行综合考虑所有材料及成品的运达地点、二次转运运距，比选人发布的限价中已综合考虑二次转运所产生的一切费用无论二次转运采用何种方式或运距远近，其费用均已包含在竞选人的定额单价(总报价)报价中。</w:t>
            </w:r>
          </w:p>
          <w:p w14:paraId="0A9E16B0">
            <w:pPr>
              <w:spacing w:before="2" w:line="433" w:lineRule="auto"/>
              <w:ind w:left="110" w:right="109" w:firstLine="434" w:firstLineChars="207"/>
              <w:jc w:val="lef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w:t>
            </w:r>
            <w:r>
              <w:rPr>
                <w:rFonts w:hint="eastAsia" w:ascii="Times New Roman" w:hAnsi="Times New Roman" w:eastAsia="宋体" w:cs="Times New Roman"/>
                <w:b/>
                <w:bCs/>
                <w:color w:val="auto"/>
                <w:kern w:val="2"/>
                <w:sz w:val="21"/>
                <w:szCs w:val="24"/>
                <w:highlight w:val="none"/>
                <w:lang w:val="en-US" w:eastAsia="zh-CN" w:bidi="ar-SA"/>
              </w:rPr>
              <w:t>本工程最高限价暂估</w:t>
            </w:r>
            <w:r>
              <w:rPr>
                <w:rFonts w:hint="eastAsia" w:ascii="Times New Roman" w:hAnsi="Times New Roman" w:eastAsia="宋体" w:cs="Times New Roman"/>
                <w:b/>
                <w:bCs/>
                <w:color w:val="auto"/>
                <w:kern w:val="2"/>
                <w:sz w:val="21"/>
                <w:szCs w:val="24"/>
                <w:highlight w:val="none"/>
                <w:u w:val="single"/>
                <w:lang w:val="en-US" w:eastAsia="zh-CN" w:bidi="ar-SA"/>
              </w:rPr>
              <w:t>167162.66</w:t>
            </w:r>
            <w:r>
              <w:rPr>
                <w:rFonts w:hint="eastAsia" w:ascii="Times New Roman" w:hAnsi="Times New Roman" w:eastAsia="宋体" w:cs="Times New Roman"/>
                <w:b/>
                <w:bCs/>
                <w:color w:val="auto"/>
                <w:kern w:val="2"/>
                <w:sz w:val="21"/>
                <w:szCs w:val="24"/>
                <w:highlight w:val="none"/>
                <w:lang w:val="en-US" w:eastAsia="zh-CN" w:bidi="ar-SA"/>
              </w:rPr>
              <w:t>（大写</w:t>
            </w:r>
            <w:r>
              <w:rPr>
                <w:rFonts w:hint="eastAsia" w:cs="Times New Roman"/>
                <w:b/>
                <w:bCs/>
                <w:color w:val="auto"/>
                <w:kern w:val="2"/>
                <w:sz w:val="21"/>
                <w:szCs w:val="24"/>
                <w:highlight w:val="none"/>
                <w:lang w:val="en-US" w:eastAsia="zh-CN" w:bidi="ar-SA"/>
              </w:rPr>
              <w:t>壹</w:t>
            </w:r>
            <w:r>
              <w:rPr>
                <w:rFonts w:hint="eastAsia" w:ascii="Times New Roman" w:hAnsi="Times New Roman" w:eastAsia="宋体" w:cs="Times New Roman"/>
                <w:b/>
                <w:bCs/>
                <w:color w:val="auto"/>
                <w:kern w:val="2"/>
                <w:sz w:val="21"/>
                <w:szCs w:val="24"/>
                <w:highlight w:val="none"/>
                <w:lang w:val="en-US" w:eastAsia="zh-CN" w:bidi="ar-SA"/>
              </w:rPr>
              <w:t>拾</w:t>
            </w:r>
            <w:r>
              <w:rPr>
                <w:rFonts w:hint="eastAsia" w:cs="Times New Roman"/>
                <w:b/>
                <w:bCs/>
                <w:color w:val="auto"/>
                <w:kern w:val="2"/>
                <w:sz w:val="21"/>
                <w:szCs w:val="24"/>
                <w:highlight w:val="none"/>
                <w:lang w:val="en-US" w:eastAsia="zh-CN" w:bidi="ar-SA"/>
              </w:rPr>
              <w:t>陆</w:t>
            </w:r>
            <w:r>
              <w:rPr>
                <w:rFonts w:hint="eastAsia" w:ascii="Times New Roman" w:hAnsi="Times New Roman" w:eastAsia="宋体" w:cs="Times New Roman"/>
                <w:b/>
                <w:bCs/>
                <w:color w:val="auto"/>
                <w:kern w:val="2"/>
                <w:sz w:val="21"/>
                <w:szCs w:val="24"/>
                <w:highlight w:val="none"/>
                <w:lang w:val="en-US" w:eastAsia="zh-CN" w:bidi="ar-SA"/>
              </w:rPr>
              <w:t>万</w:t>
            </w:r>
            <w:r>
              <w:rPr>
                <w:rFonts w:hint="eastAsia" w:cs="Times New Roman"/>
                <w:b/>
                <w:bCs/>
                <w:color w:val="auto"/>
                <w:kern w:val="2"/>
                <w:sz w:val="21"/>
                <w:szCs w:val="24"/>
                <w:highlight w:val="none"/>
                <w:lang w:val="en-US" w:eastAsia="zh-CN" w:bidi="ar-SA"/>
              </w:rPr>
              <w:t>柒</w:t>
            </w:r>
            <w:r>
              <w:rPr>
                <w:rFonts w:hint="eastAsia" w:ascii="Times New Roman" w:hAnsi="Times New Roman" w:eastAsia="宋体" w:cs="Times New Roman"/>
                <w:b/>
                <w:bCs/>
                <w:color w:val="auto"/>
                <w:kern w:val="2"/>
                <w:sz w:val="21"/>
                <w:szCs w:val="24"/>
                <w:highlight w:val="none"/>
                <w:lang w:val="en-US" w:eastAsia="zh-CN" w:bidi="ar-SA"/>
              </w:rPr>
              <w:t>仟</w:t>
            </w:r>
            <w:r>
              <w:rPr>
                <w:rFonts w:hint="eastAsia" w:cs="Times New Roman"/>
                <w:b/>
                <w:bCs/>
                <w:color w:val="auto"/>
                <w:kern w:val="2"/>
                <w:sz w:val="21"/>
                <w:szCs w:val="24"/>
                <w:highlight w:val="none"/>
                <w:lang w:val="en-US" w:eastAsia="zh-CN" w:bidi="ar-SA"/>
              </w:rPr>
              <w:t>壹</w:t>
            </w:r>
            <w:r>
              <w:rPr>
                <w:rFonts w:hint="eastAsia" w:ascii="Times New Roman" w:hAnsi="Times New Roman" w:eastAsia="宋体" w:cs="Times New Roman"/>
                <w:b/>
                <w:bCs/>
                <w:color w:val="auto"/>
                <w:kern w:val="2"/>
                <w:sz w:val="21"/>
                <w:szCs w:val="24"/>
                <w:highlight w:val="none"/>
                <w:lang w:val="en-US" w:eastAsia="zh-CN" w:bidi="ar-SA"/>
              </w:rPr>
              <w:t>佰</w:t>
            </w:r>
            <w:r>
              <w:rPr>
                <w:rFonts w:hint="eastAsia" w:cs="Times New Roman"/>
                <w:b/>
                <w:bCs/>
                <w:color w:val="auto"/>
                <w:kern w:val="2"/>
                <w:sz w:val="21"/>
                <w:szCs w:val="24"/>
                <w:highlight w:val="none"/>
                <w:lang w:val="en-US" w:eastAsia="zh-CN" w:bidi="ar-SA"/>
              </w:rPr>
              <w:t>陆</w:t>
            </w:r>
            <w:r>
              <w:rPr>
                <w:rFonts w:hint="eastAsia" w:ascii="Times New Roman" w:hAnsi="Times New Roman" w:eastAsia="宋体" w:cs="Times New Roman"/>
                <w:b/>
                <w:bCs/>
                <w:color w:val="auto"/>
                <w:kern w:val="2"/>
                <w:sz w:val="21"/>
                <w:szCs w:val="24"/>
                <w:highlight w:val="none"/>
                <w:lang w:val="en-US" w:eastAsia="zh-CN" w:bidi="ar-SA"/>
              </w:rPr>
              <w:t>拾贰元</w:t>
            </w:r>
            <w:r>
              <w:rPr>
                <w:rFonts w:hint="eastAsia" w:cs="Times New Roman"/>
                <w:b/>
                <w:bCs/>
                <w:color w:val="auto"/>
                <w:kern w:val="2"/>
                <w:sz w:val="21"/>
                <w:szCs w:val="24"/>
                <w:highlight w:val="none"/>
                <w:lang w:val="en-US" w:eastAsia="zh-CN" w:bidi="ar-SA"/>
              </w:rPr>
              <w:t>陆</w:t>
            </w:r>
            <w:r>
              <w:rPr>
                <w:rFonts w:hint="eastAsia" w:ascii="Times New Roman" w:hAnsi="Times New Roman" w:eastAsia="宋体" w:cs="Times New Roman"/>
                <w:b/>
                <w:bCs/>
                <w:color w:val="auto"/>
                <w:kern w:val="2"/>
                <w:sz w:val="21"/>
                <w:szCs w:val="24"/>
                <w:highlight w:val="none"/>
                <w:lang w:val="en-US" w:eastAsia="zh-CN" w:bidi="ar-SA"/>
              </w:rPr>
              <w:t>角</w:t>
            </w:r>
            <w:r>
              <w:rPr>
                <w:rFonts w:hint="eastAsia" w:cs="Times New Roman"/>
                <w:b/>
                <w:bCs/>
                <w:color w:val="auto"/>
                <w:kern w:val="2"/>
                <w:sz w:val="21"/>
                <w:szCs w:val="24"/>
                <w:highlight w:val="none"/>
                <w:lang w:val="en-US" w:eastAsia="zh-CN" w:bidi="ar-SA"/>
              </w:rPr>
              <w:t>陆</w:t>
            </w:r>
            <w:r>
              <w:rPr>
                <w:rFonts w:hint="eastAsia" w:ascii="Times New Roman" w:hAnsi="Times New Roman" w:eastAsia="宋体" w:cs="Times New Roman"/>
                <w:b/>
                <w:bCs/>
                <w:color w:val="auto"/>
                <w:kern w:val="2"/>
                <w:sz w:val="21"/>
                <w:szCs w:val="24"/>
                <w:highlight w:val="none"/>
                <w:lang w:val="en-US" w:eastAsia="zh-CN" w:bidi="ar-SA"/>
              </w:rPr>
              <w:t>分），安全生产费：</w:t>
            </w:r>
            <w:r>
              <w:rPr>
                <w:rFonts w:hint="eastAsia" w:ascii="Times New Roman" w:hAnsi="Times New Roman" w:eastAsia="宋体" w:cs="Times New Roman"/>
                <w:b/>
                <w:bCs/>
                <w:color w:val="auto"/>
                <w:kern w:val="2"/>
                <w:sz w:val="21"/>
                <w:szCs w:val="24"/>
                <w:highlight w:val="none"/>
                <w:u w:val="single"/>
                <w:lang w:val="en-US" w:eastAsia="zh-CN" w:bidi="ar-SA"/>
              </w:rPr>
              <w:t>4286.71</w:t>
            </w:r>
            <w:r>
              <w:rPr>
                <w:rFonts w:hint="eastAsia" w:ascii="Times New Roman" w:hAnsi="Times New Roman" w:eastAsia="宋体" w:cs="Times New Roman"/>
                <w:b/>
                <w:bCs/>
                <w:color w:val="auto"/>
                <w:kern w:val="2"/>
                <w:sz w:val="21"/>
                <w:szCs w:val="24"/>
                <w:highlight w:val="none"/>
                <w:lang w:val="en-US" w:eastAsia="zh-CN" w:bidi="ar-SA"/>
              </w:rPr>
              <w:t>元；</w:t>
            </w:r>
            <w:r>
              <w:rPr>
                <w:rFonts w:hint="eastAsia" w:ascii="Times New Roman" w:hAnsi="Times New Roman" w:eastAsia="宋体" w:cs="Times New Roman"/>
                <w:color w:val="auto"/>
                <w:kern w:val="2"/>
                <w:sz w:val="21"/>
                <w:szCs w:val="24"/>
                <w:highlight w:val="none"/>
                <w:lang w:val="en-US" w:eastAsia="zh-CN" w:bidi="ar-SA"/>
              </w:rPr>
              <w:t>工程量清单综合单价最高限价详见附件</w:t>
            </w:r>
            <w:r>
              <w:rPr>
                <w:rFonts w:hint="eastAsia" w:asciiTheme="minorEastAsia" w:hAnsiTheme="minorEastAsia" w:eastAsiaTheme="minorEastAsia" w:cstheme="minorEastAsia"/>
                <w:color w:val="auto"/>
                <w:sz w:val="24"/>
              </w:rPr>
              <w:t>。</w:t>
            </w:r>
            <w:r>
              <w:rPr>
                <w:rFonts w:hint="eastAsia" w:ascii="Times New Roman" w:hAnsi="Times New Roman" w:eastAsia="宋体" w:cs="Times New Roman"/>
                <w:color w:val="auto"/>
                <w:kern w:val="2"/>
                <w:sz w:val="21"/>
                <w:szCs w:val="24"/>
                <w:highlight w:val="none"/>
                <w:lang w:val="en-US" w:eastAsia="zh-CN" w:bidi="ar-SA"/>
              </w:rPr>
              <w:t>投标人的投标报价不得高于最高限价，否则投标文件作否决投标处理。</w:t>
            </w:r>
          </w:p>
          <w:p w14:paraId="2F9F05DB">
            <w:pPr>
              <w:spacing w:line="480" w:lineRule="exact"/>
              <w:ind w:firstLine="420"/>
              <w:rPr>
                <w:rFonts w:hint="eastAsia"/>
                <w:color w:val="auto"/>
                <w:highlight w:val="none"/>
              </w:rPr>
            </w:pPr>
            <w:r>
              <w:rPr>
                <w:rFonts w:hint="eastAsia"/>
                <w:color w:val="auto"/>
                <w:highlight w:val="none"/>
              </w:rPr>
              <w:t>投标人应将本工程的相关费用充分考虑进入投标报价中，除中标价外，招标人不另行支付本工程相关的其他一切任何费用。</w:t>
            </w:r>
          </w:p>
          <w:p w14:paraId="3B28C8BD">
            <w:pPr>
              <w:widowControl/>
              <w:numPr>
                <w:ilvl w:val="0"/>
                <w:numId w:val="0"/>
              </w:numPr>
              <w:spacing w:line="360" w:lineRule="auto"/>
              <w:ind w:firstLine="420" w:firstLineChars="200"/>
              <w:textAlignment w:val="baseline"/>
              <w:rPr>
                <w:rFonts w:hint="eastAsia"/>
                <w:color w:val="auto"/>
                <w:highlight w:val="none"/>
              </w:rPr>
            </w:pPr>
            <w:r>
              <w:rPr>
                <w:rFonts w:hint="eastAsia"/>
                <w:color w:val="auto"/>
                <w:highlight w:val="none"/>
                <w:lang w:val="en-US" w:eastAsia="zh-CN"/>
              </w:rPr>
              <w:t>3、结算原则</w:t>
            </w:r>
          </w:p>
          <w:p w14:paraId="10AD655C">
            <w:pPr>
              <w:widowControl/>
              <w:spacing w:line="360" w:lineRule="auto"/>
              <w:ind w:firstLine="420" w:firstLineChars="200"/>
              <w:textAlignment w:val="baseline"/>
              <w:rPr>
                <w:rFonts w:hint="eastAsia"/>
                <w:b w:val="0"/>
                <w:bCs w:val="0"/>
                <w:color w:val="auto"/>
                <w:highlight w:val="none"/>
                <w:lang w:eastAsia="zh-CN"/>
              </w:rPr>
            </w:pPr>
            <w:r>
              <w:rPr>
                <w:rFonts w:hint="eastAsia"/>
                <w:color w:val="auto"/>
                <w:highlight w:val="none"/>
                <w:lang w:val="en-US" w:eastAsia="zh-CN"/>
              </w:rPr>
              <w:t>工程施工完工验收合格后，结算</w:t>
            </w:r>
            <w:r>
              <w:rPr>
                <w:rFonts w:hint="eastAsia"/>
                <w:b w:val="0"/>
                <w:bCs w:val="0"/>
                <w:color w:val="auto"/>
                <w:highlight w:val="none"/>
              </w:rPr>
              <w:t>以</w:t>
            </w:r>
            <w:r>
              <w:rPr>
                <w:rFonts w:hint="eastAsia" w:ascii="宋体" w:hAnsi="宋体" w:eastAsia="宋体" w:cs="宋体"/>
                <w:color w:val="auto"/>
                <w:highlight w:val="none"/>
                <w:lang w:val="en-US" w:eastAsia="zh-CN"/>
              </w:rPr>
              <w:t>《建设工程工程量清单计价规范》（GB50500-2013）、</w:t>
            </w:r>
            <w:r>
              <w:rPr>
                <w:rFonts w:hint="eastAsia"/>
                <w:color w:val="auto"/>
                <w:highlight w:val="none"/>
              </w:rPr>
              <w:t>《重庆市</w:t>
            </w:r>
            <w:r>
              <w:rPr>
                <w:rFonts w:hint="eastAsia"/>
                <w:color w:val="auto"/>
                <w:highlight w:val="none"/>
                <w:lang w:val="en-US" w:eastAsia="zh-CN"/>
              </w:rPr>
              <w:t>市政</w:t>
            </w:r>
            <w:r>
              <w:rPr>
                <w:rFonts w:hint="eastAsia"/>
                <w:color w:val="auto"/>
                <w:highlight w:val="none"/>
              </w:rPr>
              <w:t>工程计价定额》</w:t>
            </w:r>
            <w:r>
              <w:rPr>
                <w:rFonts w:hint="eastAsia"/>
                <w:color w:val="auto"/>
                <w:highlight w:val="none"/>
                <w:lang w:val="en-US" w:eastAsia="zh-CN"/>
              </w:rPr>
              <w:t>CQSZDE-</w:t>
            </w:r>
            <w:r>
              <w:rPr>
                <w:rFonts w:hint="eastAsia"/>
                <w:color w:val="auto"/>
                <w:highlight w:val="none"/>
              </w:rPr>
              <w:t>2018、《重庆市</w:t>
            </w:r>
            <w:r>
              <w:rPr>
                <w:rFonts w:hint="eastAsia"/>
                <w:color w:val="auto"/>
                <w:highlight w:val="none"/>
                <w:lang w:val="en-US" w:eastAsia="zh-CN"/>
              </w:rPr>
              <w:t>房屋</w:t>
            </w:r>
            <w:r>
              <w:rPr>
                <w:rFonts w:hint="eastAsia"/>
                <w:color w:val="auto"/>
                <w:highlight w:val="none"/>
              </w:rPr>
              <w:t>建筑</w:t>
            </w:r>
            <w:r>
              <w:rPr>
                <w:rFonts w:hint="eastAsia"/>
                <w:color w:val="auto"/>
                <w:highlight w:val="none"/>
                <w:lang w:val="en-US" w:eastAsia="zh-CN"/>
              </w:rPr>
              <w:t>与装饰</w:t>
            </w:r>
            <w:r>
              <w:rPr>
                <w:rFonts w:hint="eastAsia"/>
                <w:color w:val="auto"/>
                <w:highlight w:val="none"/>
              </w:rPr>
              <w:t>工程计价定额》</w:t>
            </w:r>
            <w:r>
              <w:rPr>
                <w:rFonts w:hint="eastAsia"/>
                <w:color w:val="auto"/>
                <w:highlight w:val="none"/>
                <w:lang w:val="en-US" w:eastAsia="zh-CN"/>
              </w:rPr>
              <w:t>CQJZZSDE-</w:t>
            </w:r>
            <w:r>
              <w:rPr>
                <w:rFonts w:hint="eastAsia"/>
                <w:color w:val="auto"/>
                <w:highlight w:val="none"/>
              </w:rPr>
              <w:t>2018、《重庆市</w:t>
            </w:r>
            <w:r>
              <w:rPr>
                <w:rFonts w:hint="eastAsia"/>
                <w:color w:val="auto"/>
                <w:highlight w:val="none"/>
                <w:lang w:val="en-US" w:eastAsia="zh-CN"/>
              </w:rPr>
              <w:t>通用安装</w:t>
            </w:r>
            <w:r>
              <w:rPr>
                <w:rFonts w:hint="eastAsia"/>
                <w:color w:val="auto"/>
                <w:highlight w:val="none"/>
              </w:rPr>
              <w:t>工程计价定额》</w:t>
            </w:r>
            <w:r>
              <w:rPr>
                <w:rFonts w:hint="eastAsia"/>
                <w:color w:val="auto"/>
                <w:highlight w:val="none"/>
                <w:lang w:val="en-US" w:eastAsia="zh-CN"/>
              </w:rPr>
              <w:t>CQTYAZDE-</w:t>
            </w:r>
            <w:r>
              <w:rPr>
                <w:rFonts w:hint="eastAsia"/>
                <w:color w:val="auto"/>
                <w:highlight w:val="none"/>
              </w:rPr>
              <w:t>2018、《重庆市</w:t>
            </w:r>
            <w:r>
              <w:rPr>
                <w:rFonts w:hint="eastAsia"/>
                <w:color w:val="auto"/>
                <w:highlight w:val="none"/>
                <w:lang w:val="en-US" w:eastAsia="zh-CN"/>
              </w:rPr>
              <w:t>房屋修缮</w:t>
            </w:r>
            <w:r>
              <w:rPr>
                <w:rFonts w:hint="eastAsia"/>
                <w:color w:val="auto"/>
                <w:highlight w:val="none"/>
              </w:rPr>
              <w:t>工程计价定额》</w:t>
            </w:r>
            <w:r>
              <w:rPr>
                <w:rFonts w:hint="eastAsia"/>
                <w:color w:val="auto"/>
                <w:highlight w:val="none"/>
                <w:lang w:val="en-US" w:eastAsia="zh-CN"/>
              </w:rPr>
              <w:t>CQFWXSDE-</w:t>
            </w:r>
            <w:r>
              <w:rPr>
                <w:rFonts w:hint="eastAsia"/>
                <w:color w:val="auto"/>
                <w:highlight w:val="none"/>
              </w:rPr>
              <w:t>2018</w:t>
            </w:r>
            <w:r>
              <w:rPr>
                <w:rFonts w:hint="eastAsia"/>
                <w:color w:val="auto"/>
                <w:highlight w:val="none"/>
                <w:lang w:eastAsia="zh-CN"/>
              </w:rPr>
              <w:t>、</w:t>
            </w:r>
            <w:r>
              <w:rPr>
                <w:rFonts w:hint="eastAsia"/>
                <w:color w:val="auto"/>
                <w:highlight w:val="none"/>
              </w:rPr>
              <w:t>《重庆市建设工程费用定额》</w:t>
            </w:r>
            <w:r>
              <w:rPr>
                <w:rFonts w:hint="eastAsia"/>
                <w:color w:val="auto"/>
                <w:highlight w:val="none"/>
                <w:lang w:val="en-US" w:eastAsia="zh-CN"/>
              </w:rPr>
              <w:t>CQJSGCFYDE-</w:t>
            </w:r>
            <w:r>
              <w:rPr>
                <w:rFonts w:hint="eastAsia"/>
                <w:color w:val="auto"/>
                <w:highlight w:val="none"/>
              </w:rPr>
              <w:t>2018</w:t>
            </w:r>
            <w:r>
              <w:rPr>
                <w:rFonts w:hint="eastAsia"/>
                <w:color w:val="auto"/>
                <w:highlight w:val="none"/>
                <w:lang w:val="en-US" w:eastAsia="zh-CN"/>
              </w:rPr>
              <w:t>等相关定额进行编制及</w:t>
            </w:r>
            <w:r>
              <w:rPr>
                <w:rFonts w:hint="eastAsia"/>
                <w:color w:val="auto"/>
                <w:highlight w:val="none"/>
              </w:rPr>
              <w:t>《重庆市住房和城乡建设委员会关于适用增值税新税率调整建设工程计价依据的通知》（渝建〔2019〕143 号）</w:t>
            </w:r>
            <w:r>
              <w:rPr>
                <w:rFonts w:hint="eastAsia"/>
                <w:b w:val="0"/>
                <w:bCs w:val="0"/>
                <w:color w:val="auto"/>
                <w:highlight w:val="none"/>
              </w:rPr>
              <w:t>编制</w:t>
            </w:r>
            <w:r>
              <w:rPr>
                <w:rFonts w:hint="eastAsia"/>
                <w:b w:val="0"/>
                <w:bCs w:val="0"/>
                <w:color w:val="auto"/>
                <w:highlight w:val="none"/>
                <w:lang w:eastAsia="zh-CN"/>
              </w:rPr>
              <w:t>的</w:t>
            </w:r>
            <w:r>
              <w:rPr>
                <w:rFonts w:hint="eastAsia"/>
                <w:b w:val="0"/>
                <w:bCs w:val="0"/>
                <w:color w:val="auto"/>
                <w:highlight w:val="none"/>
                <w:lang w:val="en-US" w:eastAsia="zh-CN"/>
              </w:rPr>
              <w:t>完工结算</w:t>
            </w:r>
            <w:r>
              <w:rPr>
                <w:rFonts w:hint="eastAsia"/>
                <w:b w:val="0"/>
                <w:bCs w:val="0"/>
                <w:color w:val="auto"/>
                <w:highlight w:val="none"/>
              </w:rPr>
              <w:t>总价为基数</w:t>
            </w:r>
            <w:r>
              <w:rPr>
                <w:rFonts w:hint="eastAsia"/>
                <w:b w:val="0"/>
                <w:bCs w:val="0"/>
                <w:color w:val="auto"/>
                <w:highlight w:val="none"/>
                <w:lang w:eastAsia="zh-CN"/>
              </w:rPr>
              <w:t>。</w:t>
            </w:r>
          </w:p>
          <w:p w14:paraId="156AC7CA">
            <w:pPr>
              <w:pStyle w:val="2"/>
              <w:rPr>
                <w:rFonts w:hint="default"/>
                <w:lang w:val="en-US" w:eastAsia="zh-CN"/>
              </w:rPr>
            </w:pPr>
            <w:r>
              <w:rPr>
                <w:rFonts w:hint="eastAsia" w:ascii="Times New Roman" w:hAnsi="Times New Roman" w:eastAsia="宋体" w:cs="Times New Roman"/>
                <w:b/>
                <w:bCs/>
                <w:color w:val="auto"/>
                <w:kern w:val="2"/>
                <w:sz w:val="21"/>
                <w:szCs w:val="24"/>
                <w:highlight w:val="none"/>
                <w:lang w:val="en-US" w:eastAsia="zh-CN" w:bidi="ar-SA"/>
              </w:rPr>
              <w:t>备注：按照附件清单扣除甲供材料款项及其他约定固定款项</w:t>
            </w:r>
            <w:r>
              <w:rPr>
                <w:rFonts w:hint="eastAsia" w:cs="Times New Roman"/>
                <w:b/>
                <w:bCs/>
                <w:color w:val="auto"/>
                <w:kern w:val="2"/>
                <w:sz w:val="21"/>
                <w:szCs w:val="24"/>
                <w:highlight w:val="none"/>
                <w:lang w:val="en-US" w:eastAsia="zh-CN" w:bidi="ar-SA"/>
              </w:rPr>
              <w:t>进行支付</w:t>
            </w:r>
            <w:r>
              <w:rPr>
                <w:rFonts w:hint="eastAsia" w:cs="Times New Roman"/>
                <w:color w:val="auto"/>
                <w:kern w:val="2"/>
                <w:sz w:val="21"/>
                <w:szCs w:val="24"/>
                <w:highlight w:val="none"/>
                <w:lang w:val="en-US" w:eastAsia="zh-CN" w:bidi="ar-SA"/>
              </w:rPr>
              <w:t>。</w:t>
            </w:r>
          </w:p>
        </w:tc>
      </w:tr>
      <w:tr w14:paraId="3DFEF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88" w:type="dxa"/>
            <w:noWrap w:val="0"/>
            <w:vAlign w:val="center"/>
          </w:tcPr>
          <w:p w14:paraId="2E23DAFC">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1897" w:type="dxa"/>
            <w:noWrap w:val="0"/>
            <w:vAlign w:val="center"/>
          </w:tcPr>
          <w:p w14:paraId="2E4EECED">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比选有效期</w:t>
            </w:r>
          </w:p>
        </w:tc>
        <w:tc>
          <w:tcPr>
            <w:tcW w:w="6662" w:type="dxa"/>
            <w:noWrap w:val="0"/>
            <w:vAlign w:val="center"/>
          </w:tcPr>
          <w:p w14:paraId="07AFFC2D">
            <w:pPr>
              <w:snapToGrid w:val="0"/>
              <w:spacing w:line="420" w:lineRule="exact"/>
              <w:rPr>
                <w:rFonts w:hint="eastAsia" w:ascii="宋体" w:hAnsi="宋体" w:cs="宋体"/>
                <w:color w:val="auto"/>
                <w:szCs w:val="21"/>
                <w:highlight w:val="none"/>
              </w:rPr>
            </w:pPr>
            <w:r>
              <w:rPr>
                <w:rFonts w:hint="eastAsia" w:ascii="宋体" w:hAnsi="宋体"/>
                <w:color w:val="auto"/>
                <w:szCs w:val="21"/>
                <w:highlight w:val="none"/>
                <w:u w:val="single"/>
              </w:rPr>
              <w:t>90</w:t>
            </w:r>
            <w:r>
              <w:rPr>
                <w:rFonts w:hint="eastAsia" w:ascii="宋体" w:hAnsi="宋体"/>
                <w:color w:val="auto"/>
                <w:szCs w:val="21"/>
                <w:highlight w:val="none"/>
              </w:rPr>
              <w:t>日历天（从提交竞选文件截止日起计算）</w:t>
            </w:r>
          </w:p>
        </w:tc>
      </w:tr>
      <w:tr w14:paraId="3C392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66ABC3D0">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897" w:type="dxa"/>
            <w:noWrap w:val="0"/>
            <w:vAlign w:val="center"/>
          </w:tcPr>
          <w:p w14:paraId="45D9B6A4">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比选保证金</w:t>
            </w:r>
          </w:p>
        </w:tc>
        <w:tc>
          <w:tcPr>
            <w:tcW w:w="6662" w:type="dxa"/>
            <w:noWrap w:val="0"/>
            <w:vAlign w:val="center"/>
          </w:tcPr>
          <w:p w14:paraId="1E40C047">
            <w:pPr>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保证金递交</w:t>
            </w:r>
          </w:p>
          <w:p w14:paraId="1690F2A5">
            <w:pPr>
              <w:pageBreakBefore w:val="0"/>
              <w:widowControl/>
              <w:kinsoku/>
              <w:wordWrap/>
              <w:overflowPunct/>
              <w:topLinePunct w:val="0"/>
              <w:autoSpaceDE/>
              <w:autoSpaceDN/>
              <w:bidi w:val="0"/>
              <w:adjustRightInd/>
              <w:spacing w:line="400" w:lineRule="exact"/>
              <w:ind w:firstLine="210" w:firstLineChars="100"/>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应足额交纳</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保证金</w:t>
            </w:r>
            <w:r>
              <w:rPr>
                <w:rFonts w:hint="eastAsia" w:ascii="宋体" w:hAnsi="宋体" w:cs="宋体"/>
                <w:b/>
                <w:bCs/>
                <w:color w:val="000000" w:themeColor="text1"/>
                <w:sz w:val="21"/>
                <w:szCs w:val="21"/>
                <w:highlight w:val="none"/>
                <w:lang w:val="en-US" w:eastAsia="zh-CN"/>
                <w14:textFill>
                  <w14:solidFill>
                    <w14:schemeClr w14:val="tx1"/>
                  </w14:solidFill>
                </w14:textFill>
              </w:rPr>
              <w:t>叁仟</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元整</w:t>
            </w:r>
            <w:r>
              <w:rPr>
                <w:rFonts w:hint="eastAsia" w:ascii="宋体" w:hAnsi="宋体" w:eastAsia="宋体" w:cs="宋体"/>
                <w:color w:val="auto"/>
                <w:sz w:val="21"/>
                <w:szCs w:val="21"/>
                <w:highlight w:val="none"/>
              </w:rPr>
              <w:t>。</w:t>
            </w:r>
          </w:p>
          <w:p w14:paraId="793D6114">
            <w:pPr>
              <w:pageBreakBefore w:val="0"/>
              <w:widowControl/>
              <w:kinsoku/>
              <w:wordWrap/>
              <w:overflowPunct/>
              <w:topLinePunct w:val="0"/>
              <w:autoSpaceDE/>
              <w:autoSpaceDN/>
              <w:bidi w:val="0"/>
              <w:adjustRightInd/>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保证金</w:t>
            </w:r>
            <w:r>
              <w:rPr>
                <w:rFonts w:hint="eastAsia" w:ascii="宋体" w:hAnsi="宋体" w:eastAsia="宋体" w:cs="宋体"/>
                <w:color w:val="auto"/>
                <w:sz w:val="21"/>
                <w:szCs w:val="21"/>
                <w:highlight w:val="none"/>
                <w:lang w:val="en-US" w:eastAsia="zh-CN"/>
              </w:rPr>
              <w:t>以现金形式缴纳</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在递交投标文件时同时递交</w:t>
            </w:r>
            <w:r>
              <w:rPr>
                <w:rFonts w:hint="eastAsia" w:ascii="宋体" w:hAnsi="宋体" w:eastAsia="宋体" w:cs="宋体"/>
                <w:color w:val="auto"/>
                <w:sz w:val="21"/>
                <w:szCs w:val="21"/>
                <w:highlight w:val="none"/>
              </w:rPr>
              <w:t>，才具备投标资格。</w:t>
            </w:r>
          </w:p>
          <w:p w14:paraId="031F9641">
            <w:pPr>
              <w:pageBreakBefore w:val="0"/>
              <w:kinsoku/>
              <w:wordWrap/>
              <w:overflowPunct/>
              <w:topLinePunct w:val="0"/>
              <w:autoSpaceDE/>
              <w:autoSpaceDN/>
              <w:bidi w:val="0"/>
              <w:adjustRightInd/>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保证金的有效期限在响应文件有效期过后30天内继续有效。</w:t>
            </w:r>
          </w:p>
          <w:p w14:paraId="26557A48">
            <w:pPr>
              <w:pageBreakBefore w:val="0"/>
              <w:kinsoku/>
              <w:wordWrap/>
              <w:overflowPunct/>
              <w:topLinePunct w:val="0"/>
              <w:autoSpaceDE/>
              <w:autoSpaceDN/>
              <w:bidi w:val="0"/>
              <w:adjustRightInd/>
              <w:spacing w:line="400" w:lineRule="exact"/>
              <w:ind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注意事项：未在规定的时间内足额缴纳</w:t>
            </w:r>
            <w:r>
              <w:rPr>
                <w:rFonts w:hint="eastAsia" w:ascii="宋体" w:hAnsi="宋体" w:eastAsia="宋体" w:cs="宋体"/>
                <w:b/>
                <w:color w:val="auto"/>
                <w:sz w:val="21"/>
                <w:szCs w:val="21"/>
                <w:highlight w:val="none"/>
                <w:lang w:val="en-US" w:eastAsia="zh-CN"/>
              </w:rPr>
              <w:t>投标</w:t>
            </w:r>
            <w:r>
              <w:rPr>
                <w:rFonts w:hint="eastAsia" w:ascii="宋体" w:hAnsi="宋体" w:eastAsia="宋体" w:cs="宋体"/>
                <w:b/>
                <w:color w:val="auto"/>
                <w:sz w:val="21"/>
                <w:szCs w:val="21"/>
                <w:highlight w:val="none"/>
              </w:rPr>
              <w:t>保证金的，其响应文件将被拒收。</w:t>
            </w:r>
          </w:p>
          <w:p w14:paraId="5B86FA9F">
            <w:pPr>
              <w:pageBreakBefore w:val="0"/>
              <w:widowControl/>
              <w:numPr>
                <w:ilvl w:val="0"/>
                <w:numId w:val="0"/>
              </w:numPr>
              <w:kinsoku/>
              <w:wordWrap/>
              <w:overflowPunct/>
              <w:topLinePunct w:val="0"/>
              <w:autoSpaceDE/>
              <w:autoSpaceDN/>
              <w:bidi w:val="0"/>
              <w:adjustRightInd/>
              <w:spacing w:line="400" w:lineRule="exact"/>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保证金的退还方式：</w:t>
            </w:r>
          </w:p>
          <w:p w14:paraId="39E8AF22">
            <w:pPr>
              <w:pageBreakBefore w:val="0"/>
              <w:widowControl/>
              <w:kinsoku/>
              <w:wordWrap/>
              <w:overflowPunct/>
              <w:topLinePunct w:val="0"/>
              <w:autoSpaceDE/>
              <w:autoSpaceDN/>
              <w:bidi w:val="0"/>
              <w:adjustRightInd/>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1、评标结束后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现场除中选投标人以外的投标人退还投标保证金</w:t>
            </w:r>
            <w:r>
              <w:rPr>
                <w:rFonts w:hint="eastAsia" w:ascii="宋体" w:hAnsi="宋体" w:eastAsia="宋体" w:cs="宋体"/>
                <w:color w:val="auto"/>
                <w:sz w:val="21"/>
                <w:szCs w:val="21"/>
                <w:highlight w:val="none"/>
              </w:rPr>
              <w:t>。</w:t>
            </w:r>
          </w:p>
          <w:p w14:paraId="21E9209F">
            <w:pPr>
              <w:spacing w:line="36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中选投标人</w:t>
            </w:r>
            <w:r>
              <w:rPr>
                <w:rFonts w:hint="eastAsia" w:ascii="宋体" w:hAnsi="宋体" w:eastAsia="宋体" w:cs="宋体"/>
                <w:color w:val="auto"/>
                <w:sz w:val="21"/>
                <w:szCs w:val="21"/>
                <w:highlight w:val="none"/>
              </w:rPr>
              <w:t>合同签订后五个工作日内，退还中标人的投标保证金。</w:t>
            </w:r>
          </w:p>
          <w:p w14:paraId="67DFBE4B">
            <w:pPr>
              <w:spacing w:line="36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、出现流标、废标情况，流标、废标公告发布后三个工作日内向</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办理保证金退还手续。同一项目</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公告再次发布后，</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须按规定重新缴纳</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保证金。</w:t>
            </w:r>
          </w:p>
          <w:p w14:paraId="7B0BFBF9">
            <w:pPr>
              <w:spacing w:line="360" w:lineRule="exact"/>
              <w:ind w:firstLine="211" w:firstLineChars="100"/>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投标保证金收取及退付由代理公司负责。</w:t>
            </w:r>
          </w:p>
        </w:tc>
      </w:tr>
      <w:tr w14:paraId="0515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188" w:type="dxa"/>
            <w:noWrap w:val="0"/>
            <w:vAlign w:val="center"/>
          </w:tcPr>
          <w:p w14:paraId="5807C799">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w:t>
            </w:r>
          </w:p>
        </w:tc>
        <w:tc>
          <w:tcPr>
            <w:tcW w:w="1897" w:type="dxa"/>
            <w:noWrap w:val="0"/>
            <w:vAlign w:val="center"/>
          </w:tcPr>
          <w:p w14:paraId="6A4FE296">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签字盖章要求</w:t>
            </w:r>
          </w:p>
        </w:tc>
        <w:tc>
          <w:tcPr>
            <w:tcW w:w="6662" w:type="dxa"/>
            <w:noWrap w:val="0"/>
            <w:vAlign w:val="center"/>
          </w:tcPr>
          <w:p w14:paraId="37011120">
            <w:pPr>
              <w:snapToGrid w:val="0"/>
              <w:spacing w:line="400" w:lineRule="exact"/>
              <w:ind w:firstLine="420" w:firstLineChars="200"/>
              <w:rPr>
                <w:rFonts w:hint="eastAsia" w:ascii="宋体" w:hAnsi="宋体"/>
                <w:color w:val="auto"/>
                <w:szCs w:val="21"/>
                <w:highlight w:val="none"/>
              </w:rPr>
            </w:pPr>
            <w:r>
              <w:rPr>
                <w:rFonts w:hint="eastAsia" w:ascii="宋体" w:hAnsi="宋体" w:eastAsia="宋体" w:cs="宋体"/>
                <w:color w:val="auto"/>
                <w:sz w:val="21"/>
                <w:szCs w:val="21"/>
                <w:highlight w:val="none"/>
                <w:lang w:val="en-US" w:eastAsia="zh-CN"/>
              </w:rPr>
              <w:t>竞选文件应用不褪色的材料书写或打印（字迹应清晰可辩，否则将可能被否决竞选）并逐页加盖公章，并由竞选人的法定代表人或其委托代理人在比选文件规定的位置按比选文件要求签字或盖章（承诺书需法人代表签字）。竞选文件应尽量避免涂改、行间插字或删除。如果出现上述情况，改动之处 应加盖单位法人章或由竞选人的法定代表人或其授权的代理人签字确认。</w:t>
            </w:r>
          </w:p>
        </w:tc>
      </w:tr>
      <w:tr w14:paraId="415E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6E0964C2">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21</w:t>
            </w:r>
          </w:p>
        </w:tc>
        <w:tc>
          <w:tcPr>
            <w:tcW w:w="1897" w:type="dxa"/>
            <w:noWrap w:val="0"/>
            <w:vAlign w:val="center"/>
          </w:tcPr>
          <w:p w14:paraId="20AE96F0">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竞选文件的份数</w:t>
            </w:r>
          </w:p>
        </w:tc>
        <w:tc>
          <w:tcPr>
            <w:tcW w:w="6662" w:type="dxa"/>
            <w:noWrap w:val="0"/>
            <w:vAlign w:val="center"/>
          </w:tcPr>
          <w:p w14:paraId="5C58B01B">
            <w:pPr>
              <w:jc w:val="both"/>
              <w:rPr>
                <w:rFonts w:hint="eastAsia"/>
                <w:color w:val="auto"/>
                <w:highlight w:val="none"/>
              </w:rPr>
            </w:pPr>
            <w:r>
              <w:rPr>
                <w:rFonts w:hint="eastAsia"/>
                <w:color w:val="auto"/>
                <w:highlight w:val="none"/>
              </w:rPr>
              <w:t>1、竞选函部分：正本一份，副本一份；</w:t>
            </w:r>
          </w:p>
          <w:p w14:paraId="3AC91F7F">
            <w:pPr>
              <w:jc w:val="both"/>
              <w:rPr>
                <w:rFonts w:hint="eastAsia"/>
                <w:color w:val="auto"/>
                <w:highlight w:val="none"/>
              </w:rPr>
            </w:pPr>
            <w:r>
              <w:rPr>
                <w:rFonts w:hint="eastAsia"/>
                <w:color w:val="auto"/>
                <w:highlight w:val="none"/>
              </w:rPr>
              <w:t>2、资格审查资料：正本一份，副本一份；</w:t>
            </w:r>
          </w:p>
          <w:p w14:paraId="185B90FA">
            <w:pPr>
              <w:jc w:val="both"/>
              <w:rPr>
                <w:rFonts w:hint="eastAsia"/>
                <w:color w:val="auto"/>
                <w:highlight w:val="none"/>
              </w:rPr>
            </w:pPr>
            <w:r>
              <w:rPr>
                <w:rFonts w:hint="eastAsia"/>
                <w:color w:val="auto"/>
                <w:highlight w:val="none"/>
              </w:rPr>
              <w:t>3、经济部分：正本一份，副本一份；</w:t>
            </w:r>
          </w:p>
          <w:p w14:paraId="68CB95B0">
            <w:pPr>
              <w:jc w:val="both"/>
              <w:rPr>
                <w:rFonts w:hint="eastAsia"/>
                <w:color w:val="auto"/>
                <w:highlight w:val="none"/>
              </w:rPr>
            </w:pPr>
            <w:r>
              <w:rPr>
                <w:rFonts w:hint="eastAsia"/>
                <w:color w:val="auto"/>
                <w:highlight w:val="none"/>
              </w:rPr>
              <w:t>4、电子版形式：U 盘 1 份，不分正副本。</w:t>
            </w:r>
          </w:p>
          <w:p w14:paraId="2923B3F1">
            <w:pPr>
              <w:jc w:val="both"/>
              <w:rPr>
                <w:rFonts w:hint="eastAsia"/>
                <w:color w:val="auto"/>
                <w:highlight w:val="none"/>
              </w:rPr>
            </w:pPr>
            <w:r>
              <w:rPr>
                <w:rFonts w:hint="eastAsia"/>
                <w:color w:val="auto"/>
                <w:highlight w:val="none"/>
              </w:rPr>
              <w:t>注：(1)U 盘需装入所有投标文件。</w:t>
            </w:r>
          </w:p>
          <w:p w14:paraId="5E0413A1">
            <w:pPr>
              <w:jc w:val="both"/>
              <w:rPr>
                <w:rFonts w:hint="eastAsia"/>
                <w:highlight w:val="none"/>
              </w:rPr>
            </w:pPr>
            <w:r>
              <w:rPr>
                <w:rFonts w:hint="eastAsia"/>
                <w:color w:val="auto"/>
                <w:highlight w:val="none"/>
              </w:rPr>
              <w:t>(2) U 盘须标注竞选人名称和项目名称并加盖竞选单位公章。</w:t>
            </w:r>
          </w:p>
        </w:tc>
      </w:tr>
      <w:tr w14:paraId="20EE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3BBD7EE1">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22</w:t>
            </w:r>
          </w:p>
        </w:tc>
        <w:tc>
          <w:tcPr>
            <w:tcW w:w="1897" w:type="dxa"/>
            <w:noWrap w:val="0"/>
            <w:vAlign w:val="center"/>
          </w:tcPr>
          <w:p w14:paraId="347A0C66">
            <w:pPr>
              <w:adjustRightInd w:val="0"/>
              <w:snapToGrid w:val="0"/>
              <w:spacing w:line="420" w:lineRule="exact"/>
              <w:jc w:val="center"/>
              <w:rPr>
                <w:rFonts w:hint="eastAsia" w:ascii="宋体" w:hAnsi="宋体" w:cs="宋体"/>
                <w:color w:val="auto"/>
                <w:kern w:val="0"/>
                <w:szCs w:val="21"/>
                <w:highlight w:val="none"/>
              </w:rPr>
            </w:pPr>
            <w:r>
              <w:rPr>
                <w:rFonts w:hint="eastAsia" w:ascii="宋体" w:hAnsi="宋体"/>
                <w:color w:val="auto"/>
                <w:szCs w:val="21"/>
                <w:highlight w:val="none"/>
              </w:rPr>
              <w:t>装订要求</w:t>
            </w:r>
          </w:p>
        </w:tc>
        <w:tc>
          <w:tcPr>
            <w:tcW w:w="6662" w:type="dxa"/>
            <w:noWrap w:val="0"/>
            <w:vAlign w:val="center"/>
          </w:tcPr>
          <w:p w14:paraId="7A5516AD">
            <w:pPr>
              <w:adjustRightInd w:val="0"/>
              <w:snapToGrid w:val="0"/>
              <w:spacing w:line="420" w:lineRule="exact"/>
              <w:ind w:firstLine="420" w:firstLineChars="200"/>
              <w:rPr>
                <w:rFonts w:hint="eastAsia"/>
                <w:color w:val="auto"/>
                <w:highlight w:val="none"/>
              </w:rPr>
            </w:pPr>
            <w:r>
              <w:rPr>
                <w:rFonts w:hint="eastAsia"/>
                <w:color w:val="auto"/>
                <w:highlight w:val="none"/>
              </w:rPr>
              <w:t>1、本工程应将竞选函部分、资格审查部分</w:t>
            </w:r>
            <w:r>
              <w:rPr>
                <w:rFonts w:hint="eastAsia"/>
                <w:color w:val="auto"/>
                <w:highlight w:val="none"/>
                <w:lang w:eastAsia="zh-CN"/>
              </w:rPr>
              <w:t>、</w:t>
            </w:r>
            <w:r>
              <w:rPr>
                <w:rFonts w:hint="eastAsia"/>
                <w:color w:val="auto"/>
                <w:highlight w:val="none"/>
                <w:lang w:val="en-US" w:eastAsia="zh-CN"/>
              </w:rPr>
              <w:t>经济部分</w:t>
            </w:r>
            <w:r>
              <w:rPr>
                <w:rFonts w:hint="eastAsia"/>
                <w:color w:val="auto"/>
                <w:highlight w:val="none"/>
              </w:rPr>
              <w:t>分别装</w:t>
            </w:r>
            <w:r>
              <w:rPr>
                <w:rFonts w:hint="eastAsia"/>
                <w:color w:val="auto"/>
                <w:highlight w:val="none"/>
                <w:lang w:val="en-US" w:eastAsia="zh-CN"/>
              </w:rPr>
              <w:t>订</w:t>
            </w:r>
            <w:r>
              <w:rPr>
                <w:rFonts w:hint="eastAsia"/>
                <w:color w:val="auto"/>
                <w:highlight w:val="none"/>
              </w:rPr>
              <w:t>成册；竞选保函部分（如有）无需装订。</w:t>
            </w:r>
          </w:p>
          <w:p w14:paraId="4C920CB7">
            <w:pPr>
              <w:wordWrap w:val="0"/>
              <w:topLinePunct/>
              <w:adjustRightInd w:val="0"/>
              <w:snapToGrid w:val="0"/>
              <w:spacing w:line="360" w:lineRule="auto"/>
              <w:ind w:firstLine="420" w:firstLineChars="200"/>
              <w:rPr>
                <w:rFonts w:hint="eastAsia"/>
                <w:color w:val="auto"/>
                <w:highlight w:val="none"/>
              </w:rPr>
            </w:pPr>
            <w:r>
              <w:rPr>
                <w:rFonts w:hint="eastAsia"/>
                <w:color w:val="auto"/>
                <w:highlight w:val="none"/>
              </w:rPr>
              <w:t>2、装订要求</w:t>
            </w:r>
          </w:p>
          <w:p w14:paraId="743233A7">
            <w:pPr>
              <w:wordWrap w:val="0"/>
              <w:topLinePunct/>
              <w:adjustRightInd w:val="0"/>
              <w:snapToGrid w:val="0"/>
              <w:spacing w:line="360" w:lineRule="auto"/>
              <w:ind w:firstLine="420" w:firstLineChars="200"/>
              <w:rPr>
                <w:rFonts w:hint="eastAsia"/>
                <w:color w:val="auto"/>
                <w:highlight w:val="none"/>
              </w:rPr>
            </w:pPr>
            <w:r>
              <w:rPr>
                <w:rFonts w:hint="eastAsia"/>
                <w:color w:val="auto"/>
                <w:highlight w:val="none"/>
              </w:rPr>
              <w:t>（1）竞选保函部分（如有）的装订要求</w:t>
            </w:r>
          </w:p>
          <w:p w14:paraId="48DDC9C4">
            <w:pPr>
              <w:wordWrap w:val="0"/>
              <w:topLinePunct/>
              <w:adjustRightInd w:val="0"/>
              <w:snapToGrid w:val="0"/>
              <w:spacing w:line="360" w:lineRule="auto"/>
              <w:ind w:firstLine="420" w:firstLineChars="200"/>
              <w:rPr>
                <w:rFonts w:hint="eastAsia"/>
                <w:color w:val="auto"/>
                <w:highlight w:val="none"/>
              </w:rPr>
            </w:pPr>
            <w:r>
              <w:rPr>
                <w:rFonts w:hint="eastAsia"/>
                <w:color w:val="auto"/>
                <w:highlight w:val="none"/>
              </w:rPr>
              <w:t>应按照比选文件规定的格式提供，无需装订，不编页码。</w:t>
            </w:r>
          </w:p>
          <w:p w14:paraId="7F4E4A30">
            <w:pPr>
              <w:wordWrap w:val="0"/>
              <w:topLinePunct/>
              <w:adjustRightInd w:val="0"/>
              <w:snapToGrid w:val="0"/>
              <w:spacing w:line="360" w:lineRule="auto"/>
              <w:ind w:firstLine="420" w:firstLineChars="200"/>
              <w:rPr>
                <w:rFonts w:hint="eastAsia"/>
                <w:color w:val="auto"/>
                <w:highlight w:val="none"/>
              </w:rPr>
            </w:pPr>
            <w:r>
              <w:rPr>
                <w:rFonts w:hint="eastAsia"/>
                <w:color w:val="auto"/>
                <w:highlight w:val="none"/>
              </w:rPr>
              <w:t>（2）竞选函部分的装订要求</w:t>
            </w:r>
          </w:p>
          <w:p w14:paraId="782707F1">
            <w:pPr>
              <w:adjustRightInd w:val="0"/>
              <w:snapToGrid w:val="0"/>
              <w:spacing w:line="420" w:lineRule="exact"/>
              <w:ind w:firstLine="420" w:firstLineChars="200"/>
              <w:rPr>
                <w:rFonts w:hint="eastAsia"/>
                <w:color w:val="auto"/>
                <w:highlight w:val="none"/>
                <w:lang w:val="en-US" w:eastAsia="zh-CN"/>
              </w:rPr>
            </w:pPr>
            <w:r>
              <w:rPr>
                <w:rFonts w:hint="eastAsia"/>
                <w:color w:val="auto"/>
                <w:highlight w:val="none"/>
              </w:rPr>
              <w:t>应按照比选文件的规定格式装订成册，并应编制目录，</w:t>
            </w:r>
            <w:r>
              <w:rPr>
                <w:rFonts w:hint="eastAsia"/>
                <w:color w:val="auto"/>
                <w:highlight w:val="none"/>
                <w:lang w:val="en-US" w:eastAsia="zh-CN"/>
              </w:rPr>
              <w:t>页码。</w:t>
            </w:r>
          </w:p>
          <w:p w14:paraId="547535EF">
            <w:pPr>
              <w:wordWrap w:val="0"/>
              <w:topLinePunct/>
              <w:adjustRightInd w:val="0"/>
              <w:snapToGrid w:val="0"/>
              <w:spacing w:line="360" w:lineRule="auto"/>
              <w:ind w:firstLine="420" w:firstLineChars="200"/>
              <w:rPr>
                <w:rFonts w:hint="eastAsia"/>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w:t>
            </w:r>
            <w:r>
              <w:rPr>
                <w:rFonts w:hint="eastAsia" w:ascii="Times New Roman" w:hAnsi="Times New Roman" w:eastAsia="宋体" w:cs="Times New Roman"/>
                <w:color w:val="auto"/>
                <w:kern w:val="2"/>
                <w:sz w:val="21"/>
                <w:szCs w:val="24"/>
                <w:highlight w:val="none"/>
                <w:lang w:val="en-US" w:eastAsia="zh-CN" w:bidi="ar-SA"/>
              </w:rPr>
              <w:t>经济部分</w:t>
            </w:r>
            <w:r>
              <w:rPr>
                <w:rFonts w:hint="eastAsia"/>
                <w:color w:val="auto"/>
                <w:highlight w:val="none"/>
              </w:rPr>
              <w:t>的装订要求</w:t>
            </w:r>
          </w:p>
          <w:p w14:paraId="6748BEFB">
            <w:pPr>
              <w:pStyle w:val="2"/>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应按照比选文件的规定格式装订成册，并应编制目录，页码。</w:t>
            </w:r>
          </w:p>
          <w:p w14:paraId="7B436098">
            <w:pPr>
              <w:adjustRightInd w:val="0"/>
              <w:snapToGrid w:val="0"/>
              <w:spacing w:line="420" w:lineRule="exact"/>
              <w:ind w:firstLine="420" w:firstLineChars="200"/>
              <w:rPr>
                <w:rFonts w:hint="eastAsia"/>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w:t>
            </w:r>
            <w:r>
              <w:rPr>
                <w:rFonts w:hint="eastAsia" w:ascii="Times New Roman" w:hAnsi="Times New Roman" w:eastAsia="宋体" w:cs="Times New Roman"/>
                <w:color w:val="auto"/>
                <w:highlight w:val="none"/>
              </w:rPr>
              <w:t>资格</w:t>
            </w:r>
            <w:r>
              <w:rPr>
                <w:rFonts w:hint="eastAsia"/>
                <w:color w:val="auto"/>
                <w:highlight w:val="none"/>
              </w:rPr>
              <w:t>审查部分的装订要求</w:t>
            </w:r>
          </w:p>
          <w:p w14:paraId="3DFE00C0">
            <w:pPr>
              <w:adjustRightInd w:val="0"/>
              <w:snapToGrid w:val="0"/>
              <w:spacing w:line="420" w:lineRule="exact"/>
              <w:ind w:firstLine="420" w:firstLineChars="200"/>
              <w:rPr>
                <w:rFonts w:hint="eastAsia" w:eastAsia="宋体"/>
                <w:color w:val="auto"/>
                <w:highlight w:val="none"/>
                <w:lang w:eastAsia="zh-CN"/>
              </w:rPr>
            </w:pPr>
            <w:r>
              <w:rPr>
                <w:rFonts w:hint="eastAsia"/>
                <w:color w:val="auto"/>
                <w:highlight w:val="none"/>
              </w:rPr>
              <w:t>应按照比选文件的规定格式装订成册，并应编制目录，</w:t>
            </w:r>
            <w:r>
              <w:rPr>
                <w:rFonts w:hint="eastAsia"/>
                <w:color w:val="auto"/>
                <w:highlight w:val="none"/>
                <w:lang w:val="en-US" w:eastAsia="zh-CN"/>
              </w:rPr>
              <w:t>页码。</w:t>
            </w:r>
          </w:p>
        </w:tc>
      </w:tr>
      <w:tr w14:paraId="2471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3" w:hRule="atLeast"/>
        </w:trPr>
        <w:tc>
          <w:tcPr>
            <w:tcW w:w="1188" w:type="dxa"/>
            <w:noWrap w:val="0"/>
            <w:vAlign w:val="center"/>
          </w:tcPr>
          <w:p w14:paraId="1C8369A3">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23</w:t>
            </w:r>
          </w:p>
        </w:tc>
        <w:tc>
          <w:tcPr>
            <w:tcW w:w="1897" w:type="dxa"/>
            <w:noWrap w:val="0"/>
            <w:vAlign w:val="center"/>
          </w:tcPr>
          <w:p w14:paraId="7D92D38D">
            <w:pPr>
              <w:snapToGrid w:val="0"/>
              <w:spacing w:line="420" w:lineRule="exact"/>
              <w:jc w:val="center"/>
              <w:rPr>
                <w:rFonts w:hint="eastAsia" w:ascii="宋体" w:hAnsi="宋体" w:cs="宋体"/>
                <w:color w:val="auto"/>
                <w:kern w:val="0"/>
                <w:szCs w:val="21"/>
                <w:highlight w:val="none"/>
              </w:rPr>
            </w:pPr>
            <w:r>
              <w:rPr>
                <w:rFonts w:hint="eastAsia" w:ascii="宋体" w:hAnsi="宋体" w:cs="MingLiU"/>
                <w:color w:val="auto"/>
                <w:kern w:val="0"/>
                <w:szCs w:val="21"/>
                <w:highlight w:val="none"/>
              </w:rPr>
              <w:t>竞选文件的密封</w:t>
            </w:r>
          </w:p>
        </w:tc>
        <w:tc>
          <w:tcPr>
            <w:tcW w:w="6662" w:type="dxa"/>
            <w:noWrap w:val="0"/>
            <w:vAlign w:val="center"/>
          </w:tcPr>
          <w:p w14:paraId="795667B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竞选文件袋使用“竞选保函部分”袋（如有），“竞选函部分”袋、“资格审查部分”袋以及“竞选文件”大袋。</w:t>
            </w:r>
          </w:p>
          <w:p w14:paraId="447EA42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竞选保函装入“竞选保函部分”袋（如有），单独封装并加盖竞选单位公章，同时应按本表第 24 项的规定写明相应内容。</w:t>
            </w:r>
          </w:p>
          <w:p w14:paraId="1C2DD9F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竞选函部分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u盘</w:t>
            </w:r>
            <w:r>
              <w:rPr>
                <w:rFonts w:hint="eastAsia" w:ascii="宋体" w:hAnsi="宋体" w:cs="宋体"/>
                <w:color w:val="auto"/>
                <w:szCs w:val="21"/>
                <w:highlight w:val="none"/>
              </w:rPr>
              <w:t>装入“竞选函部分”袋中，密封并加盖竞选单位公章。</w:t>
            </w:r>
          </w:p>
          <w:p w14:paraId="748B29D0">
            <w:pPr>
              <w:snapToGrid w:val="0"/>
              <w:spacing w:line="360" w:lineRule="auto"/>
              <w:ind w:firstLine="420" w:firstLineChars="200"/>
              <w:rPr>
                <w:rFonts w:hint="eastAsia"/>
                <w:color w:val="auto"/>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hint="eastAsia" w:ascii="Times New Roman" w:hAnsi="Times New Roman" w:eastAsia="宋体" w:cs="Times New Roman"/>
                <w:color w:val="auto"/>
                <w:kern w:val="2"/>
                <w:sz w:val="21"/>
                <w:szCs w:val="24"/>
                <w:highlight w:val="none"/>
                <w:lang w:val="en-US" w:eastAsia="zh-CN" w:bidi="ar-SA"/>
              </w:rPr>
              <w:t>经济部分</w:t>
            </w:r>
            <w:r>
              <w:rPr>
                <w:rFonts w:hint="eastAsia" w:ascii="宋体" w:hAnsi="宋体" w:cs="宋体"/>
                <w:color w:val="auto"/>
                <w:szCs w:val="21"/>
                <w:highlight w:val="none"/>
              </w:rPr>
              <w:t>装入“</w:t>
            </w:r>
            <w:r>
              <w:rPr>
                <w:rFonts w:hint="eastAsia" w:ascii="Times New Roman" w:hAnsi="Times New Roman" w:eastAsia="宋体" w:cs="Times New Roman"/>
                <w:color w:val="auto"/>
                <w:kern w:val="2"/>
                <w:sz w:val="21"/>
                <w:szCs w:val="24"/>
                <w:highlight w:val="none"/>
                <w:lang w:val="en-US" w:eastAsia="zh-CN" w:bidi="ar-SA"/>
              </w:rPr>
              <w:t>经济部分</w:t>
            </w:r>
            <w:r>
              <w:rPr>
                <w:rFonts w:hint="eastAsia" w:ascii="宋体" w:hAnsi="宋体" w:cs="宋体"/>
                <w:color w:val="auto"/>
                <w:szCs w:val="21"/>
                <w:highlight w:val="none"/>
              </w:rPr>
              <w:t>”袋中，密封并加盖竞选单位公章。</w:t>
            </w:r>
          </w:p>
          <w:p w14:paraId="3C3413C1">
            <w:pPr>
              <w:snapToGrid w:val="0"/>
              <w:spacing w:line="360" w:lineRule="auto"/>
              <w:ind w:firstLine="420" w:firstLineChars="200"/>
              <w:rPr>
                <w:rFonts w:hint="eastAsia"/>
                <w:color w:val="auto"/>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w:t>
            </w:r>
            <w:r>
              <w:rPr>
                <w:rFonts w:hint="eastAsia"/>
                <w:color w:val="auto"/>
                <w:highlight w:val="none"/>
              </w:rPr>
              <w:t>资格审查部分装入“资格审查部分”</w:t>
            </w:r>
            <w:r>
              <w:rPr>
                <w:rFonts w:hint="eastAsia" w:ascii="宋体" w:hAnsi="宋体" w:cs="宋体"/>
                <w:color w:val="auto"/>
                <w:szCs w:val="21"/>
                <w:highlight w:val="none"/>
              </w:rPr>
              <w:t>袋中，密封并在袋上加盖竞选单位公章，同时“资格审查部分”袋应按本表第24项的规定写明相应内容。</w:t>
            </w:r>
          </w:p>
          <w:p w14:paraId="3C2862AE">
            <w:pPr>
              <w:snapToGrid w:val="0"/>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.“竞选函部分”、“</w:t>
            </w:r>
            <w:r>
              <w:rPr>
                <w:rFonts w:hint="eastAsia" w:ascii="Times New Roman" w:hAnsi="Times New Roman" w:eastAsia="宋体" w:cs="Times New Roman"/>
                <w:color w:val="auto"/>
                <w:kern w:val="2"/>
                <w:sz w:val="21"/>
                <w:szCs w:val="24"/>
                <w:highlight w:val="none"/>
                <w:lang w:val="en-US" w:eastAsia="zh-CN" w:bidi="ar-SA"/>
              </w:rPr>
              <w:t>经济</w:t>
            </w:r>
            <w:r>
              <w:rPr>
                <w:rFonts w:hint="eastAsia" w:ascii="宋体" w:hAnsi="宋体" w:cs="宋体"/>
                <w:color w:val="auto"/>
                <w:szCs w:val="21"/>
                <w:highlight w:val="none"/>
              </w:rPr>
              <w:t>部分”等小袋装入“竞选文件”大袋中，密封并在大袋上加盖单位公章，同时“竞选文件”大袋应按本表第</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项的规定写明相应内容。大袋未按要求密封的，比选人或代理机构拒收。</w:t>
            </w:r>
          </w:p>
        </w:tc>
      </w:tr>
      <w:tr w14:paraId="2305D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31DB120B">
            <w:pPr>
              <w:snapToGrid w:val="0"/>
              <w:spacing w:line="420" w:lineRule="exact"/>
              <w:ind w:firstLine="420" w:firstLineChars="200"/>
              <w:jc w:val="both"/>
              <w:rPr>
                <w:rFonts w:hint="eastAsia" w:ascii="宋体" w:hAnsi="宋体" w:cs="宋体"/>
                <w:color w:val="auto"/>
                <w:kern w:val="0"/>
                <w:szCs w:val="21"/>
                <w:highlight w:val="none"/>
              </w:rPr>
            </w:pPr>
            <w:r>
              <w:rPr>
                <w:rFonts w:hint="eastAsia" w:ascii="宋体" w:hAnsi="宋体" w:cs="宋体"/>
                <w:color w:val="auto"/>
                <w:kern w:val="0"/>
                <w:szCs w:val="21"/>
                <w:highlight w:val="none"/>
              </w:rPr>
              <w:t>24</w:t>
            </w:r>
          </w:p>
        </w:tc>
        <w:tc>
          <w:tcPr>
            <w:tcW w:w="1897" w:type="dxa"/>
            <w:noWrap w:val="0"/>
            <w:vAlign w:val="center"/>
          </w:tcPr>
          <w:p w14:paraId="7954749B">
            <w:pPr>
              <w:snapToGrid w:val="0"/>
              <w:spacing w:line="420" w:lineRule="exact"/>
              <w:jc w:val="both"/>
              <w:rPr>
                <w:rFonts w:hint="eastAsia" w:ascii="宋体" w:hAnsi="宋体" w:cs="宋体"/>
                <w:color w:val="auto"/>
                <w:kern w:val="0"/>
                <w:szCs w:val="21"/>
                <w:highlight w:val="none"/>
              </w:rPr>
            </w:pPr>
            <w:r>
              <w:rPr>
                <w:rFonts w:hint="eastAsia" w:ascii="宋体" w:hAnsi="宋体"/>
                <w:color w:val="auto"/>
                <w:szCs w:val="21"/>
                <w:highlight w:val="none"/>
              </w:rPr>
              <w:t>竞选文件袋的</w:t>
            </w:r>
            <w:r>
              <w:rPr>
                <w:rFonts w:hint="eastAsia" w:ascii="宋体" w:hAnsi="宋体" w:cs="宋体"/>
                <w:color w:val="auto"/>
                <w:kern w:val="0"/>
                <w:szCs w:val="21"/>
                <w:highlight w:val="none"/>
              </w:rPr>
              <w:t>封套上须写明</w:t>
            </w:r>
          </w:p>
        </w:tc>
        <w:tc>
          <w:tcPr>
            <w:tcW w:w="6662" w:type="dxa"/>
            <w:noWrap w:val="0"/>
            <w:vAlign w:val="center"/>
          </w:tcPr>
          <w:p w14:paraId="6BE4F95B">
            <w:pPr>
              <w:snapToGrid w:val="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比选人名称：</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p>
          <w:p w14:paraId="02836994">
            <w:pPr>
              <w:snapToGrid w:val="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竞选人名称：</w:t>
            </w:r>
            <w:r>
              <w:rPr>
                <w:rFonts w:hint="eastAsia" w:ascii="宋体" w:hAnsi="宋体" w:cs="宋体"/>
                <w:color w:val="auto"/>
                <w:kern w:val="0"/>
                <w:szCs w:val="21"/>
                <w:highlight w:val="none"/>
                <w:u w:val="single"/>
              </w:rPr>
              <w:t xml:space="preserve">                       </w:t>
            </w:r>
          </w:p>
          <w:p w14:paraId="0C68B3F4">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（项目名称）竞选文件</w:t>
            </w:r>
          </w:p>
          <w:p w14:paraId="7BD08FC7">
            <w:pPr>
              <w:adjustRightInd w:val="0"/>
              <w:snapToGrid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分前不得开启</w:t>
            </w:r>
          </w:p>
        </w:tc>
      </w:tr>
      <w:tr w14:paraId="2011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097140C3">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25</w:t>
            </w:r>
          </w:p>
        </w:tc>
        <w:tc>
          <w:tcPr>
            <w:tcW w:w="1897" w:type="dxa"/>
            <w:noWrap w:val="0"/>
            <w:vAlign w:val="center"/>
          </w:tcPr>
          <w:p w14:paraId="56B0F752">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竞选文件递交时间</w:t>
            </w:r>
          </w:p>
        </w:tc>
        <w:tc>
          <w:tcPr>
            <w:tcW w:w="6662" w:type="dxa"/>
            <w:noWrap w:val="0"/>
            <w:vAlign w:val="center"/>
          </w:tcPr>
          <w:p w14:paraId="15250BFF">
            <w:pPr>
              <w:adjustRightInd w:val="0"/>
              <w:snapToGrid w:val="0"/>
              <w:spacing w:line="420" w:lineRule="exact"/>
              <w:rPr>
                <w:rFonts w:hint="eastAsia" w:ascii="宋体" w:hAnsi="宋体"/>
                <w:color w:val="000000" w:themeColor="text1"/>
                <w:szCs w:val="2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202</w:t>
            </w:r>
            <w:r>
              <w:rPr>
                <w:rFonts w:hint="eastAsia" w:ascii="宋体" w:hAnsi="宋体" w:cs="宋体"/>
                <w:color w:val="000000" w:themeColor="text1"/>
                <w:highlight w:val="none"/>
                <w:u w:val="single"/>
                <w:lang w:val="en-US" w:eastAsia="zh-CN"/>
                <w14:textFill>
                  <w14:solidFill>
                    <w14:schemeClr w14:val="tx1"/>
                  </w14:solidFill>
                </w14:textFill>
              </w:rPr>
              <w:t>5</w:t>
            </w:r>
            <w:r>
              <w:rPr>
                <w:rFonts w:hint="eastAsia" w:ascii="宋体" w:hAnsi="宋体" w:cs="宋体"/>
                <w:color w:val="000000" w:themeColor="text1"/>
                <w:highlight w:val="none"/>
                <w:u w:val="single"/>
                <w14:textFill>
                  <w14:solidFill>
                    <w14:schemeClr w14:val="tx1"/>
                  </w14:solidFill>
                </w14:textFill>
              </w:rPr>
              <w:t>年</w:t>
            </w:r>
            <w:r>
              <w:rPr>
                <w:rFonts w:hint="eastAsia" w:ascii="宋体" w:hAnsi="宋体" w:cs="宋体"/>
                <w:color w:val="000000" w:themeColor="text1"/>
                <w:highlight w:val="none"/>
                <w:u w:val="single"/>
                <w:lang w:val="en-US" w:eastAsia="zh-CN"/>
                <w14:textFill>
                  <w14:solidFill>
                    <w14:schemeClr w14:val="tx1"/>
                  </w14:solidFill>
                </w14:textFill>
              </w:rPr>
              <w:t>9</w:t>
            </w:r>
            <w:r>
              <w:rPr>
                <w:rFonts w:hint="eastAsia" w:ascii="宋体" w:hAnsi="宋体" w:cs="宋体"/>
                <w:color w:val="000000" w:themeColor="text1"/>
                <w:highlight w:val="none"/>
                <w:u w:val="single"/>
                <w14:textFill>
                  <w14:solidFill>
                    <w14:schemeClr w14:val="tx1"/>
                  </w14:solidFill>
                </w14:textFill>
              </w:rPr>
              <w:t>月</w:t>
            </w:r>
            <w:r>
              <w:rPr>
                <w:rFonts w:hint="eastAsia" w:ascii="宋体" w:hAnsi="宋体" w:cs="宋体"/>
                <w:color w:val="000000" w:themeColor="text1"/>
                <w:highlight w:val="none"/>
                <w:u w:val="single"/>
                <w:lang w:val="en-US" w:eastAsia="zh-CN"/>
                <w14:textFill>
                  <w14:solidFill>
                    <w14:schemeClr w14:val="tx1"/>
                  </w14:solidFill>
                </w14:textFill>
              </w:rPr>
              <w:t>23</w:t>
            </w:r>
            <w:r>
              <w:rPr>
                <w:rFonts w:hint="eastAsia" w:ascii="宋体" w:hAnsi="宋体" w:cs="宋体"/>
                <w:color w:val="000000" w:themeColor="text1"/>
                <w:highlight w:val="none"/>
                <w:u w:val="single"/>
                <w14:textFill>
                  <w14:solidFill>
                    <w14:schemeClr w14:val="tx1"/>
                  </w14:solidFill>
                </w14:textFill>
              </w:rPr>
              <w:t>日</w:t>
            </w:r>
            <w:r>
              <w:rPr>
                <w:rFonts w:hint="eastAsia" w:ascii="宋体" w:hAnsi="宋体" w:cs="宋体"/>
                <w:color w:val="000000" w:themeColor="text1"/>
                <w:highlight w:val="none"/>
                <w:u w:val="single"/>
                <w:lang w:val="en-US" w:eastAsia="zh-CN"/>
                <w14:textFill>
                  <w14:solidFill>
                    <w14:schemeClr w14:val="tx1"/>
                  </w14:solidFill>
                </w14:textFill>
              </w:rPr>
              <w:t>10</w:t>
            </w:r>
            <w:r>
              <w:rPr>
                <w:rFonts w:hint="eastAsia" w:ascii="宋体" w:hAnsi="宋体" w:cs="宋体"/>
                <w:color w:val="000000" w:themeColor="text1"/>
                <w:highlight w:val="none"/>
                <w:u w:val="single"/>
                <w14:textFill>
                  <w14:solidFill>
                    <w14:schemeClr w14:val="tx1"/>
                  </w14:solidFill>
                </w14:textFill>
              </w:rPr>
              <w:t>时</w:t>
            </w:r>
            <w:r>
              <w:rPr>
                <w:rFonts w:hint="eastAsia" w:ascii="宋体" w:hAnsi="宋体" w:cs="宋体"/>
                <w:color w:val="000000" w:themeColor="text1"/>
                <w:highlight w:val="none"/>
                <w:u w:val="single"/>
                <w:lang w:val="en-US" w:eastAsia="zh-CN"/>
                <w14:textFill>
                  <w14:solidFill>
                    <w14:schemeClr w14:val="tx1"/>
                  </w14:solidFill>
                </w14:textFill>
              </w:rPr>
              <w:t>00</w:t>
            </w:r>
            <w:r>
              <w:rPr>
                <w:rFonts w:hint="eastAsia" w:ascii="宋体" w:hAnsi="宋体" w:cs="宋体"/>
                <w:color w:val="000000" w:themeColor="text1"/>
                <w:highlight w:val="none"/>
                <w:u w:val="single"/>
                <w14:textFill>
                  <w14:solidFill>
                    <w14:schemeClr w14:val="tx1"/>
                  </w14:solidFill>
                </w14:textFill>
              </w:rPr>
              <w:t>分至</w:t>
            </w:r>
            <w:r>
              <w:rPr>
                <w:rFonts w:hint="eastAsia" w:ascii="宋体" w:hAnsi="宋体" w:cs="宋体"/>
                <w:color w:val="000000" w:themeColor="text1"/>
                <w:highlight w:val="none"/>
                <w:u w:val="single"/>
                <w:lang w:val="en-US" w:eastAsia="zh-CN"/>
                <w14:textFill>
                  <w14:solidFill>
                    <w14:schemeClr w14:val="tx1"/>
                  </w14:solidFill>
                </w14:textFill>
              </w:rPr>
              <w:t>10</w:t>
            </w:r>
            <w:r>
              <w:rPr>
                <w:rFonts w:hint="eastAsia" w:ascii="宋体" w:hAnsi="宋体" w:cs="宋体"/>
                <w:color w:val="000000" w:themeColor="text1"/>
                <w:highlight w:val="none"/>
                <w:u w:val="single"/>
                <w14:textFill>
                  <w14:solidFill>
                    <w14:schemeClr w14:val="tx1"/>
                  </w14:solidFill>
                </w14:textFill>
              </w:rPr>
              <w:t>时</w:t>
            </w:r>
            <w:r>
              <w:rPr>
                <w:rFonts w:hint="eastAsia" w:ascii="宋体" w:hAnsi="宋体" w:cs="宋体"/>
                <w:color w:val="000000" w:themeColor="text1"/>
                <w:highlight w:val="none"/>
                <w:u w:val="single"/>
                <w:lang w:val="en-US" w:eastAsia="zh-CN"/>
                <w14:textFill>
                  <w14:solidFill>
                    <w14:schemeClr w14:val="tx1"/>
                  </w14:solidFill>
                </w14:textFill>
              </w:rPr>
              <w:t>30</w:t>
            </w:r>
            <w:r>
              <w:rPr>
                <w:rFonts w:hint="eastAsia" w:ascii="宋体" w:hAnsi="宋体" w:cs="宋体"/>
                <w:color w:val="000000" w:themeColor="text1"/>
                <w:highlight w:val="none"/>
                <w:u w:val="single"/>
                <w14:textFill>
                  <w14:solidFill>
                    <w14:schemeClr w14:val="tx1"/>
                  </w14:solidFill>
                </w14:textFill>
              </w:rPr>
              <w:t>分</w:t>
            </w:r>
          </w:p>
        </w:tc>
      </w:tr>
      <w:tr w14:paraId="39453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471B10CA">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1897" w:type="dxa"/>
            <w:noWrap w:val="0"/>
            <w:vAlign w:val="center"/>
          </w:tcPr>
          <w:p w14:paraId="4251448B">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竞选文件递交地点</w:t>
            </w:r>
          </w:p>
        </w:tc>
        <w:tc>
          <w:tcPr>
            <w:tcW w:w="6662" w:type="dxa"/>
            <w:noWrap w:val="0"/>
            <w:vAlign w:val="center"/>
          </w:tcPr>
          <w:p w14:paraId="087EF24B">
            <w:pPr>
              <w:adjustRightInd w:val="0"/>
              <w:snapToGrid w:val="0"/>
              <w:spacing w:line="420" w:lineRule="exact"/>
              <w:rPr>
                <w:rFonts w:ascii="宋体" w:hAnsi="宋体" w:cs="宋体"/>
                <w:bCs/>
                <w:color w:val="auto"/>
                <w:kern w:val="0"/>
                <w:szCs w:val="21"/>
                <w:highlight w:val="none"/>
              </w:rPr>
            </w:pPr>
            <w:r>
              <w:rPr>
                <w:rFonts w:hint="eastAsia" w:ascii="宋体" w:hAnsi="宋体" w:cs="宋体"/>
                <w:color w:val="auto"/>
                <w:sz w:val="21"/>
                <w:szCs w:val="21"/>
                <w:highlight w:val="none"/>
                <w:lang w:eastAsia="zh-CN"/>
              </w:rPr>
              <w:t>彭水九黎文化旅游投资有限公司</w:t>
            </w:r>
            <w:r>
              <w:rPr>
                <w:rFonts w:hint="eastAsia" w:ascii="宋体" w:hAnsi="宋体" w:eastAsia="宋体" w:cs="宋体"/>
                <w:color w:val="auto"/>
                <w:sz w:val="21"/>
                <w:szCs w:val="21"/>
                <w:highlight w:val="none"/>
              </w:rPr>
              <w:t>（</w:t>
            </w:r>
            <w:r>
              <w:rPr>
                <w:rFonts w:hint="eastAsia" w:ascii="宋体" w:hAnsi="宋体" w:cs="宋体"/>
                <w:snapToGrid w:val="0"/>
                <w:color w:val="auto"/>
                <w:sz w:val="21"/>
                <w:szCs w:val="21"/>
                <w:highlight w:val="none"/>
                <w:u w:val="none"/>
                <w:lang w:eastAsia="zh-CN"/>
              </w:rPr>
              <w:t>重庆市彭水县靛水街道张家坝社区一组</w:t>
            </w:r>
            <w:r>
              <w:rPr>
                <w:rFonts w:hint="eastAsia" w:ascii="宋体" w:hAnsi="宋体" w:eastAsia="宋体" w:cs="宋体"/>
                <w:color w:val="auto"/>
                <w:sz w:val="21"/>
                <w:szCs w:val="21"/>
                <w:highlight w:val="none"/>
              </w:rPr>
              <w:t>）</w:t>
            </w:r>
          </w:p>
        </w:tc>
      </w:tr>
      <w:tr w14:paraId="4B22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188" w:type="dxa"/>
            <w:noWrap w:val="0"/>
            <w:vAlign w:val="center"/>
          </w:tcPr>
          <w:p w14:paraId="051E8D6B">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897" w:type="dxa"/>
            <w:noWrap w:val="0"/>
            <w:vAlign w:val="center"/>
          </w:tcPr>
          <w:p w14:paraId="610792E6">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是否退还竞选文件</w:t>
            </w:r>
          </w:p>
        </w:tc>
        <w:tc>
          <w:tcPr>
            <w:tcW w:w="6662" w:type="dxa"/>
            <w:noWrap w:val="0"/>
            <w:vAlign w:val="center"/>
          </w:tcPr>
          <w:p w14:paraId="1A55456F">
            <w:pPr>
              <w:snapToGrid w:val="0"/>
              <w:spacing w:line="4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■否</w:t>
            </w:r>
          </w:p>
          <w:p w14:paraId="148F28B0">
            <w:pPr>
              <w:snapToGrid w:val="0"/>
              <w:spacing w:line="4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口是</w:t>
            </w:r>
          </w:p>
        </w:tc>
      </w:tr>
      <w:tr w14:paraId="0CBB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188" w:type="dxa"/>
            <w:noWrap w:val="0"/>
            <w:vAlign w:val="center"/>
          </w:tcPr>
          <w:p w14:paraId="2DAE3CCD">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1897" w:type="dxa"/>
            <w:noWrap w:val="0"/>
            <w:vAlign w:val="center"/>
          </w:tcPr>
          <w:p w14:paraId="024BB471">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比选时间和地点</w:t>
            </w:r>
          </w:p>
        </w:tc>
        <w:tc>
          <w:tcPr>
            <w:tcW w:w="6662" w:type="dxa"/>
            <w:noWrap w:val="0"/>
            <w:vAlign w:val="center"/>
          </w:tcPr>
          <w:p w14:paraId="6EB748B5">
            <w:pPr>
              <w:adjustRightInd w:val="0"/>
              <w:snapToGrid w:val="0"/>
              <w:spacing w:line="4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比选</w:t>
            </w:r>
            <w:r>
              <w:rPr>
                <w:rFonts w:hint="eastAsia" w:ascii="宋体" w:hAnsi="宋体" w:cs="宋体"/>
                <w:color w:val="000000" w:themeColor="text1"/>
                <w:kern w:val="0"/>
                <w:szCs w:val="21"/>
                <w:highlight w:val="none"/>
                <w14:textFill>
                  <w14:solidFill>
                    <w14:schemeClr w14:val="tx1"/>
                  </w14:solidFill>
                </w14:textFill>
              </w:rPr>
              <w:t>时间：</w:t>
            </w:r>
            <w:r>
              <w:rPr>
                <w:rFonts w:hint="eastAsia" w:ascii="宋体" w:hAnsi="宋体" w:cs="宋体"/>
                <w:color w:val="000000" w:themeColor="text1"/>
                <w:kern w:val="0"/>
                <w:szCs w:val="21"/>
                <w:highlight w:val="none"/>
                <w:u w:val="single"/>
                <w14:textFill>
                  <w14:solidFill>
                    <w14:schemeClr w14:val="tx1"/>
                  </w14:solidFill>
                </w14:textFill>
              </w:rPr>
              <w:t>202</w:t>
            </w:r>
            <w:r>
              <w:rPr>
                <w:rFonts w:hint="eastAsia" w:ascii="宋体" w:hAnsi="宋体" w:cs="宋体"/>
                <w:color w:val="000000" w:themeColor="text1"/>
                <w:kern w:val="0"/>
                <w:szCs w:val="21"/>
                <w:highlight w:val="none"/>
                <w:u w:val="single"/>
                <w:lang w:val="en-US" w:eastAsia="zh-CN"/>
                <w14:textFill>
                  <w14:solidFill>
                    <w14:schemeClr w14:val="tx1"/>
                  </w14:solidFill>
                </w14:textFill>
              </w:rPr>
              <w:t>5</w:t>
            </w:r>
            <w:r>
              <w:rPr>
                <w:rFonts w:hint="eastAsia" w:ascii="宋体" w:hAnsi="宋体" w:cs="宋体"/>
                <w:color w:val="000000" w:themeColor="text1"/>
                <w:kern w:val="0"/>
                <w:szCs w:val="21"/>
                <w:highlight w:val="none"/>
                <w:u w:val="single"/>
                <w14:textFill>
                  <w14:solidFill>
                    <w14:schemeClr w14:val="tx1"/>
                  </w14:solidFill>
                </w14:textFill>
              </w:rPr>
              <w:t>年</w:t>
            </w:r>
            <w:r>
              <w:rPr>
                <w:rFonts w:hint="eastAsia" w:ascii="宋体" w:hAnsi="宋体" w:cs="宋体"/>
                <w:color w:val="000000" w:themeColor="text1"/>
                <w:kern w:val="0"/>
                <w:szCs w:val="21"/>
                <w:highlight w:val="none"/>
                <w:u w:val="single"/>
                <w:lang w:val="en-US" w:eastAsia="zh-CN"/>
                <w14:textFill>
                  <w14:solidFill>
                    <w14:schemeClr w14:val="tx1"/>
                  </w14:solidFill>
                </w14:textFill>
              </w:rPr>
              <w:t>9</w:t>
            </w:r>
            <w:r>
              <w:rPr>
                <w:rFonts w:hint="eastAsia" w:ascii="宋体" w:hAnsi="宋体" w:cs="宋体"/>
                <w:color w:val="000000" w:themeColor="text1"/>
                <w:kern w:val="0"/>
                <w:szCs w:val="21"/>
                <w:highlight w:val="none"/>
                <w:u w:val="single"/>
                <w14:textFill>
                  <w14:solidFill>
                    <w14:schemeClr w14:val="tx1"/>
                  </w14:solidFill>
                </w14:textFill>
              </w:rPr>
              <w:t>月</w:t>
            </w:r>
            <w:r>
              <w:rPr>
                <w:rFonts w:hint="eastAsia" w:ascii="宋体" w:hAnsi="宋体" w:cs="宋体"/>
                <w:color w:val="000000" w:themeColor="text1"/>
                <w:kern w:val="0"/>
                <w:szCs w:val="21"/>
                <w:highlight w:val="none"/>
                <w:u w:val="single"/>
                <w:lang w:val="en-US" w:eastAsia="zh-CN"/>
                <w14:textFill>
                  <w14:solidFill>
                    <w14:schemeClr w14:val="tx1"/>
                  </w14:solidFill>
                </w14:textFill>
              </w:rPr>
              <w:t>23</w:t>
            </w:r>
            <w:r>
              <w:rPr>
                <w:rFonts w:hint="eastAsia" w:ascii="宋体" w:hAnsi="宋体" w:cs="宋体"/>
                <w:color w:val="000000" w:themeColor="text1"/>
                <w:kern w:val="0"/>
                <w:szCs w:val="21"/>
                <w:highlight w:val="none"/>
                <w:u w:val="single"/>
                <w14:textFill>
                  <w14:solidFill>
                    <w14:schemeClr w14:val="tx1"/>
                  </w14:solidFill>
                </w14:textFill>
              </w:rPr>
              <w:t>日</w:t>
            </w:r>
            <w:r>
              <w:rPr>
                <w:rFonts w:hint="eastAsia" w:ascii="宋体" w:hAnsi="宋体" w:cs="宋体"/>
                <w:color w:val="000000" w:themeColor="text1"/>
                <w:kern w:val="0"/>
                <w:szCs w:val="21"/>
                <w:highlight w:val="none"/>
                <w:u w:val="single"/>
                <w:lang w:val="en-US" w:eastAsia="zh-CN"/>
                <w14:textFill>
                  <w14:solidFill>
                    <w14:schemeClr w14:val="tx1"/>
                  </w14:solidFill>
                </w14:textFill>
              </w:rPr>
              <w:t>10</w:t>
            </w:r>
            <w:r>
              <w:rPr>
                <w:rFonts w:hint="eastAsia" w:ascii="宋体" w:hAnsi="宋体"/>
                <w:color w:val="000000" w:themeColor="text1"/>
                <w:szCs w:val="21"/>
                <w:highlight w:val="none"/>
                <w:u w:val="single"/>
                <w14:textFill>
                  <w14:solidFill>
                    <w14:schemeClr w14:val="tx1"/>
                  </w14:solidFill>
                </w14:textFill>
              </w:rPr>
              <w:t>时</w:t>
            </w:r>
            <w:r>
              <w:rPr>
                <w:rFonts w:hint="eastAsia" w:ascii="宋体" w:hAnsi="宋体"/>
                <w:color w:val="000000" w:themeColor="text1"/>
                <w:szCs w:val="21"/>
                <w:highlight w:val="none"/>
                <w:u w:val="single"/>
                <w:lang w:val="en-US" w:eastAsia="zh-CN"/>
                <w14:textFill>
                  <w14:solidFill>
                    <w14:schemeClr w14:val="tx1"/>
                  </w14:solidFill>
                </w14:textFill>
              </w:rPr>
              <w:t>30</w:t>
            </w:r>
            <w:r>
              <w:rPr>
                <w:rFonts w:hint="eastAsia" w:ascii="宋体" w:hAnsi="宋体"/>
                <w:color w:val="000000" w:themeColor="text1"/>
                <w:szCs w:val="21"/>
                <w:highlight w:val="none"/>
                <w:u w:val="single"/>
                <w14:textFill>
                  <w14:solidFill>
                    <w14:schemeClr w14:val="tx1"/>
                  </w14:solidFill>
                </w14:textFill>
              </w:rPr>
              <w:t>分</w:t>
            </w:r>
          </w:p>
          <w:p w14:paraId="49F59E20">
            <w:pPr>
              <w:snapToGrid w:val="0"/>
              <w:spacing w:line="420" w:lineRule="exact"/>
              <w:rPr>
                <w:rFonts w:hint="eastAsia" w:ascii="宋体" w:hAnsi="宋体" w:eastAsia="宋体" w:cs="宋体"/>
                <w:bCs/>
                <w:color w:val="auto"/>
                <w:kern w:val="0"/>
                <w:szCs w:val="21"/>
                <w:highlight w:val="none"/>
                <w:lang w:eastAsia="zh-CN"/>
              </w:rPr>
            </w:pPr>
            <w:r>
              <w:rPr>
                <w:rFonts w:hint="eastAsia" w:ascii="宋体" w:hAnsi="宋体" w:cs="宋体"/>
                <w:color w:val="auto"/>
                <w:kern w:val="0"/>
                <w:szCs w:val="21"/>
                <w:highlight w:val="none"/>
              </w:rPr>
              <w:t>比选地点：</w:t>
            </w:r>
            <w:r>
              <w:rPr>
                <w:rFonts w:hint="eastAsia" w:ascii="宋体" w:hAnsi="宋体" w:cs="宋体"/>
                <w:bCs/>
                <w:color w:val="auto"/>
                <w:kern w:val="0"/>
                <w:szCs w:val="21"/>
                <w:highlight w:val="none"/>
                <w:lang w:val="en-US" w:eastAsia="zh-CN"/>
              </w:rPr>
              <w:t>同</w:t>
            </w:r>
            <w:r>
              <w:rPr>
                <w:rFonts w:hint="eastAsia" w:ascii="宋体" w:hAnsi="宋体" w:cs="宋体"/>
                <w:color w:val="auto"/>
                <w:kern w:val="0"/>
                <w:szCs w:val="21"/>
                <w:highlight w:val="none"/>
              </w:rPr>
              <w:t>竞选文件递交地点</w:t>
            </w:r>
          </w:p>
        </w:tc>
      </w:tr>
      <w:tr w14:paraId="4B84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7F77EA7C">
            <w:pPr>
              <w:snapToGrid w:val="0"/>
              <w:spacing w:line="420" w:lineRule="exact"/>
              <w:jc w:val="center"/>
              <w:rPr>
                <w:rFonts w:ascii="宋体" w:hAnsi="宋体" w:cs="宋体"/>
                <w:color w:val="auto"/>
                <w:szCs w:val="21"/>
                <w:highlight w:val="none"/>
              </w:rPr>
            </w:pPr>
            <w:r>
              <w:rPr>
                <w:rFonts w:hint="eastAsia" w:ascii="宋体" w:hAnsi="宋体" w:cs="宋体"/>
                <w:color w:val="auto"/>
                <w:kern w:val="0"/>
                <w:szCs w:val="21"/>
                <w:highlight w:val="none"/>
              </w:rPr>
              <w:t>29</w:t>
            </w:r>
          </w:p>
        </w:tc>
        <w:tc>
          <w:tcPr>
            <w:tcW w:w="1897" w:type="dxa"/>
            <w:noWrap w:val="0"/>
            <w:vAlign w:val="center"/>
          </w:tcPr>
          <w:p w14:paraId="275691EA">
            <w:pPr>
              <w:snapToGrid w:val="0"/>
              <w:spacing w:line="42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比选程序</w:t>
            </w:r>
          </w:p>
        </w:tc>
        <w:tc>
          <w:tcPr>
            <w:tcW w:w="6662" w:type="dxa"/>
            <w:noWrap w:val="0"/>
            <w:vAlign w:val="center"/>
          </w:tcPr>
          <w:p w14:paraId="771BD906">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主持人按下列程序进行比选：</w:t>
            </w:r>
          </w:p>
          <w:p w14:paraId="6D5B3A3B">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1.宣布比选纪律。</w:t>
            </w:r>
          </w:p>
          <w:p w14:paraId="7156F907">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2.宣布比选人、唱标人、记录人等有关人员姓名。</w:t>
            </w:r>
          </w:p>
          <w:p w14:paraId="083E7782">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3.公布在竞选文件递交截止时间前递交竞选文件的竞选人名称。</w:t>
            </w:r>
          </w:p>
          <w:p w14:paraId="2379779F">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核验参加比选会的法定代表人或授权委托人本人身份证原件、法定代表人身份证明原件、法定代表人授权委托书原件（法定代表人本人参加不提供），以确认其身份合法有效；若竞选人代表身份核验不合格，不得参加比选会，其竞选文件不予开启。</w:t>
            </w:r>
          </w:p>
          <w:p w14:paraId="59CD19F1">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5.竞选文件的密封检查：竞选人可对自己或其他竞选人的竞选文件封装情况进行检查，以确认其竞选文件密封完好。</w:t>
            </w:r>
          </w:p>
          <w:p w14:paraId="15D3E730">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6.现场展示竞选保证金缴纳情况并作如实记录。</w:t>
            </w:r>
          </w:p>
          <w:p w14:paraId="1956779B">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6.1展示采用方式一缴纳保证金情况，并将异常情况在比选记录表“备注”栏中记录。</w:t>
            </w:r>
          </w:p>
          <w:p w14:paraId="796CE81E">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6.2展示采用方式二缴纳保证金情况，并将异常情况在比选记录表“备注”栏中记录。纸质竞选保函复印件与比选记录表一并交由评标委员会评审。</w:t>
            </w:r>
          </w:p>
          <w:p w14:paraId="3F360B99">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7.公布最高限价，以便比选小组评审。</w:t>
            </w:r>
          </w:p>
          <w:p w14:paraId="400C1483">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8.逐单位随机开启竞选文件，公布竞选人名称、竞选总报价、质量要求、工期等内容，现场查询竞选人是否在“信用中国”网站被列为失信被执行人且在被执行期内；所有信息记录在案。</w:t>
            </w:r>
          </w:p>
          <w:p w14:paraId="3CC5C064">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9.竞选人代表、比选人代表、监标人、记录人等有关人员在比选记录上签字确认。因其他原因未能签字的，视为默认开标结果。</w:t>
            </w:r>
          </w:p>
          <w:p w14:paraId="56FDBAD0">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10. 竞选人代表比选人代表、监标人、记录人等有关人员在开标记录上签字确认；</w:t>
            </w:r>
          </w:p>
          <w:p w14:paraId="15866650">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11.比选结束。</w:t>
            </w:r>
          </w:p>
        </w:tc>
      </w:tr>
      <w:tr w14:paraId="3E93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116EF54B">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897" w:type="dxa"/>
            <w:noWrap w:val="0"/>
            <w:vAlign w:val="center"/>
          </w:tcPr>
          <w:p w14:paraId="6AF1B132">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比选小组的组建</w:t>
            </w:r>
          </w:p>
        </w:tc>
        <w:tc>
          <w:tcPr>
            <w:tcW w:w="6662" w:type="dxa"/>
            <w:noWrap w:val="0"/>
            <w:vAlign w:val="center"/>
          </w:tcPr>
          <w:p w14:paraId="107FD004">
            <w:pPr>
              <w:autoSpaceDE w:val="0"/>
              <w:autoSpaceDN w:val="0"/>
              <w:adjustRightInd w:val="0"/>
              <w:snapToGrid w:val="0"/>
              <w:spacing w:line="420" w:lineRule="exact"/>
              <w:rPr>
                <w:rFonts w:hint="eastAsia" w:ascii="宋体" w:hAnsi="宋体"/>
                <w:color w:val="auto"/>
                <w:kern w:val="0"/>
                <w:highlight w:val="none"/>
              </w:rPr>
            </w:pPr>
            <w:r>
              <w:rPr>
                <w:rFonts w:hint="eastAsia" w:ascii="宋体" w:hAnsi="宋体"/>
                <w:color w:val="auto"/>
                <w:kern w:val="0"/>
                <w:highlight w:val="none"/>
              </w:rPr>
              <w:t>1、评标委员会构成：3人及以上单数；</w:t>
            </w:r>
          </w:p>
          <w:p w14:paraId="541015FF">
            <w:pPr>
              <w:autoSpaceDE w:val="0"/>
              <w:autoSpaceDN w:val="0"/>
              <w:adjustRightInd w:val="0"/>
              <w:snapToGrid w:val="0"/>
              <w:spacing w:line="420" w:lineRule="exact"/>
              <w:rPr>
                <w:rFonts w:hint="eastAsia" w:ascii="宋体" w:hAnsi="宋体"/>
                <w:color w:val="auto"/>
                <w:kern w:val="0"/>
                <w:highlight w:val="none"/>
              </w:rPr>
            </w:pPr>
            <w:r>
              <w:rPr>
                <w:rFonts w:hint="eastAsia" w:ascii="宋体" w:hAnsi="宋体"/>
                <w:color w:val="auto"/>
                <w:kern w:val="0"/>
                <w:highlight w:val="none"/>
              </w:rPr>
              <w:t>2、评标专家确定方式：由比选人按法律法规及相关规定组建评审（标）小组评审（标）专家依法律法规及相关规定产生。</w:t>
            </w:r>
          </w:p>
        </w:tc>
      </w:tr>
      <w:tr w14:paraId="1E13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20307A14">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31</w:t>
            </w:r>
          </w:p>
        </w:tc>
        <w:tc>
          <w:tcPr>
            <w:tcW w:w="1897" w:type="dxa"/>
            <w:noWrap w:val="0"/>
            <w:vAlign w:val="center"/>
          </w:tcPr>
          <w:p w14:paraId="43D02842">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是否授权比选小组</w:t>
            </w:r>
          </w:p>
          <w:p w14:paraId="3DFA3DFF">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确定中选人</w:t>
            </w:r>
          </w:p>
        </w:tc>
        <w:tc>
          <w:tcPr>
            <w:tcW w:w="6662" w:type="dxa"/>
            <w:noWrap w:val="0"/>
            <w:vAlign w:val="center"/>
          </w:tcPr>
          <w:p w14:paraId="4B0899E9">
            <w:pPr>
              <w:autoSpaceDE w:val="0"/>
              <w:autoSpaceDN w:val="0"/>
              <w:adjustRightInd w:val="0"/>
              <w:snapToGrid w:val="0"/>
              <w:spacing w:line="420" w:lineRule="exact"/>
              <w:rPr>
                <w:rFonts w:hint="eastAsia" w:ascii="宋体" w:hAnsi="宋体"/>
                <w:color w:val="auto"/>
                <w:kern w:val="0"/>
                <w:highlight w:val="none"/>
              </w:rPr>
            </w:pPr>
            <w:r>
              <w:rPr>
                <w:rFonts w:hint="eastAsia" w:ascii="宋体" w:hAnsi="宋体"/>
                <w:color w:val="auto"/>
                <w:kern w:val="0"/>
                <w:highlight w:val="none"/>
              </w:rPr>
              <w:t>否，按第三章比选办法的规定推荐1-3名中选候选人。</w:t>
            </w:r>
          </w:p>
        </w:tc>
      </w:tr>
      <w:tr w14:paraId="01AB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noWrap w:val="0"/>
            <w:vAlign w:val="center"/>
          </w:tcPr>
          <w:p w14:paraId="587F22C8">
            <w:pPr>
              <w:snapToGrid w:val="0"/>
              <w:spacing w:line="420" w:lineRule="exact"/>
              <w:jc w:val="center"/>
              <w:rPr>
                <w:rFonts w:hint="eastAsia" w:ascii="宋体" w:hAnsi="宋体" w:cs="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kern w:val="0"/>
                <w:szCs w:val="21"/>
                <w:highlight w:val="none"/>
                <w:lang w:val="en-US" w:eastAsia="zh-CN"/>
              </w:rPr>
              <w:t>2</w:t>
            </w:r>
          </w:p>
        </w:tc>
        <w:tc>
          <w:tcPr>
            <w:tcW w:w="1897" w:type="dxa"/>
            <w:noWrap w:val="0"/>
            <w:vAlign w:val="center"/>
          </w:tcPr>
          <w:p w14:paraId="0A19B3DB">
            <w:pPr>
              <w:snapToGrid w:val="0"/>
              <w:spacing w:line="420" w:lineRule="exact"/>
              <w:jc w:val="center"/>
              <w:rPr>
                <w:rFonts w:hint="eastAsia" w:ascii="宋体" w:hAnsi="宋体" w:cs="宋体"/>
                <w:color w:val="auto"/>
                <w:kern w:val="0"/>
                <w:szCs w:val="21"/>
                <w:highlight w:val="none"/>
              </w:rPr>
            </w:pPr>
            <w:r>
              <w:rPr>
                <w:rFonts w:hint="eastAsia" w:ascii="宋体" w:hAnsi="宋体"/>
                <w:color w:val="auto"/>
                <w:kern w:val="0"/>
                <w:szCs w:val="21"/>
                <w:highlight w:val="none"/>
              </w:rPr>
              <w:t xml:space="preserve"> 比选代理服务费</w:t>
            </w:r>
          </w:p>
        </w:tc>
        <w:tc>
          <w:tcPr>
            <w:tcW w:w="6662" w:type="dxa"/>
            <w:noWrap w:val="0"/>
            <w:vAlign w:val="center"/>
          </w:tcPr>
          <w:p w14:paraId="768EACA6">
            <w:pPr>
              <w:spacing w:line="360" w:lineRule="auto"/>
              <w:ind w:firstLine="312" w:firstLineChars="149"/>
              <w:rPr>
                <w:rFonts w:hint="eastAsia"/>
                <w:color w:val="auto"/>
                <w:highlight w:val="none"/>
              </w:rPr>
            </w:pPr>
            <w:r>
              <w:rPr>
                <w:color w:val="auto"/>
                <w:highlight w:val="none"/>
              </w:rPr>
              <w:t xml:space="preserve"> </w:t>
            </w:r>
            <w:r>
              <w:rPr>
                <w:rFonts w:hint="eastAsia"/>
                <w:color w:val="auto"/>
                <w:highlight w:val="none"/>
              </w:rPr>
              <w:t>1.本工程的比选代理服务费由中选人支付。该项目比选工作结束后（即中选人在领取中选通知书之前），应向比选代理机构一次性支付相应的比选代理服务费用。</w:t>
            </w:r>
          </w:p>
          <w:p w14:paraId="754EE48A">
            <w:pPr>
              <w:pStyle w:val="2"/>
              <w:spacing w:line="360" w:lineRule="auto"/>
              <w:ind w:firstLine="453" w:firstLineChars="216"/>
              <w:rPr>
                <w:rFonts w:hint="eastAsia" w:ascii="宋体" w:hAnsi="宋体" w:cs="宋体"/>
                <w:color w:val="auto"/>
                <w:kern w:val="0"/>
                <w:szCs w:val="21"/>
                <w:highlight w:val="none"/>
              </w:rPr>
            </w:pPr>
            <w:r>
              <w:rPr>
                <w:rFonts w:hint="eastAsia" w:ascii="Times New Roman" w:hAnsi="Times New Roman" w:eastAsia="宋体" w:cs="Times New Roman"/>
                <w:color w:val="auto"/>
                <w:kern w:val="2"/>
                <w:sz w:val="21"/>
                <w:szCs w:val="24"/>
                <w:highlight w:val="none"/>
                <w:lang w:val="en-US" w:eastAsia="zh-CN" w:bidi="ar-SA"/>
              </w:rPr>
              <w:t>2.收费标准参照招标代理费参考国家发改价格[2011]534 号文件规定的收费标准。，竞选人在报价时自行将此费用考</w:t>
            </w:r>
            <w:r>
              <w:rPr>
                <w:rFonts w:hint="eastAsia"/>
                <w:color w:val="auto"/>
                <w:sz w:val="21"/>
                <w:highlight w:val="none"/>
                <w:lang w:val="en-US" w:eastAsia="zh-CN"/>
              </w:rPr>
              <w:t>虑在投标报价中，中标后比选人不得向中标人支付此笔费用。</w:t>
            </w:r>
          </w:p>
        </w:tc>
      </w:tr>
      <w:tr w14:paraId="70D9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88" w:type="dxa"/>
            <w:noWrap w:val="0"/>
            <w:vAlign w:val="center"/>
          </w:tcPr>
          <w:p w14:paraId="77D60FAD">
            <w:pPr>
              <w:snapToGrid w:val="0"/>
              <w:spacing w:line="4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kern w:val="0"/>
                <w:szCs w:val="21"/>
                <w:highlight w:val="none"/>
                <w:lang w:val="en-US" w:eastAsia="zh-CN"/>
              </w:rPr>
              <w:t>3</w:t>
            </w:r>
          </w:p>
        </w:tc>
        <w:tc>
          <w:tcPr>
            <w:tcW w:w="1897" w:type="dxa"/>
            <w:noWrap w:val="0"/>
            <w:vAlign w:val="center"/>
          </w:tcPr>
          <w:p w14:paraId="5001C04F">
            <w:pPr>
              <w:snapToGrid w:val="0"/>
              <w:spacing w:line="4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比选结果公示</w:t>
            </w:r>
          </w:p>
        </w:tc>
        <w:tc>
          <w:tcPr>
            <w:tcW w:w="6662" w:type="dxa"/>
            <w:noWrap w:val="0"/>
            <w:vAlign w:val="center"/>
          </w:tcPr>
          <w:p w14:paraId="39F2CC8F">
            <w:pPr>
              <w:tabs>
                <w:tab w:val="left" w:pos="436"/>
                <w:tab w:val="left" w:pos="492"/>
              </w:tabs>
              <w:snapToGrid w:val="0"/>
              <w:spacing w:line="420" w:lineRule="exact"/>
              <w:ind w:firstLine="420" w:firstLineChars="200"/>
              <w:rPr>
                <w:rFonts w:hint="eastAsia"/>
                <w:color w:val="auto"/>
                <w:sz w:val="21"/>
                <w:highlight w:val="none"/>
                <w:lang w:val="en-US" w:eastAsia="zh-CN"/>
              </w:rPr>
            </w:pPr>
            <w:r>
              <w:rPr>
                <w:rFonts w:hint="eastAsia" w:ascii="宋体" w:hAnsi="宋体"/>
                <w:color w:val="auto"/>
                <w:szCs w:val="21"/>
                <w:highlight w:val="none"/>
              </w:rPr>
              <w:t>比选人在收到评标报告后3日内将比选结果</w:t>
            </w:r>
            <w:r>
              <w:rPr>
                <w:rFonts w:hint="eastAsia" w:ascii="宋体" w:hAnsi="宋体" w:eastAsia="宋体" w:cs="Times New Roman"/>
                <w:color w:val="auto"/>
                <w:szCs w:val="21"/>
                <w:highlight w:val="none"/>
              </w:rPr>
              <w:t>在</w:t>
            </w:r>
            <w:r>
              <w:rPr>
                <w:rFonts w:hint="eastAsia" w:ascii="宋体" w:hAnsi="宋体" w:eastAsia="宋体" w:cs="宋体"/>
                <w:color w:val="auto"/>
                <w:sz w:val="21"/>
                <w:szCs w:val="21"/>
                <w:highlight w:val="none"/>
                <w:u w:val="single"/>
              </w:rPr>
              <w:t>重庆九黎旅游控股集团公司网</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http://www.cqjljt.com/Index.shtml</w:t>
            </w:r>
            <w:r>
              <w:rPr>
                <w:rFonts w:hint="eastAsia" w:ascii="宋体" w:hAnsi="宋体" w:eastAsia="宋体" w:cs="宋体"/>
                <w:color w:val="auto"/>
                <w:sz w:val="21"/>
                <w:szCs w:val="21"/>
                <w:highlight w:val="none"/>
                <w:u w:val="single"/>
                <w:lang w:eastAsia="zh-CN"/>
              </w:rPr>
              <w:t>）</w:t>
            </w:r>
            <w:r>
              <w:rPr>
                <w:rFonts w:hint="eastAsia" w:ascii="宋体" w:hAnsi="宋体" w:eastAsia="宋体" w:cs="Times New Roman"/>
                <w:color w:val="auto"/>
                <w:szCs w:val="21"/>
                <w:highlight w:val="none"/>
              </w:rPr>
              <w:t>进</w:t>
            </w:r>
            <w:r>
              <w:rPr>
                <w:rFonts w:hint="eastAsia" w:ascii="宋体" w:hAnsi="宋体"/>
                <w:color w:val="auto"/>
                <w:szCs w:val="21"/>
                <w:highlight w:val="none"/>
              </w:rPr>
              <w:t>行公示，公示时间不少于1个工作日。公示期间若无任何质疑投诉或经调查质疑投诉不成立的，比选人向第一中选候选人发放中选通知书。若经调查对第一中选候选人的质疑投诉成立的，比选人可向第二中选人发放中选通知书或重新进行比选。</w:t>
            </w:r>
          </w:p>
        </w:tc>
      </w:tr>
      <w:tr w14:paraId="090B4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188" w:type="dxa"/>
            <w:noWrap w:val="0"/>
            <w:vAlign w:val="center"/>
          </w:tcPr>
          <w:p w14:paraId="4116220C">
            <w:pPr>
              <w:snapToGrid w:val="0"/>
              <w:spacing w:line="4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34</w:t>
            </w:r>
          </w:p>
        </w:tc>
        <w:tc>
          <w:tcPr>
            <w:tcW w:w="1897" w:type="dxa"/>
            <w:noWrap w:val="0"/>
            <w:vAlign w:val="center"/>
          </w:tcPr>
          <w:p w14:paraId="715208AE">
            <w:pPr>
              <w:tabs>
                <w:tab w:val="left" w:pos="436"/>
                <w:tab w:val="left" w:pos="492"/>
              </w:tabs>
              <w:snapToGrid w:val="0"/>
              <w:spacing w:line="420" w:lineRule="exact"/>
              <w:rPr>
                <w:rFonts w:hint="eastAsia" w:ascii="宋体" w:hAnsi="宋体"/>
                <w:color w:val="auto"/>
                <w:kern w:val="0"/>
                <w:szCs w:val="21"/>
                <w:highlight w:val="none"/>
              </w:rPr>
            </w:pPr>
            <w:r>
              <w:rPr>
                <w:rFonts w:hint="eastAsia" w:ascii="宋体" w:hAnsi="宋体" w:eastAsia="宋体" w:cs="Times New Roman"/>
                <w:color w:val="auto"/>
                <w:szCs w:val="21"/>
                <w:highlight w:val="none"/>
              </w:rPr>
              <w:t>交易服务费的收取</w:t>
            </w:r>
          </w:p>
        </w:tc>
        <w:tc>
          <w:tcPr>
            <w:tcW w:w="6662" w:type="dxa"/>
            <w:noWrap w:val="0"/>
            <w:vAlign w:val="center"/>
          </w:tcPr>
          <w:p w14:paraId="1F678C09">
            <w:pPr>
              <w:tabs>
                <w:tab w:val="left" w:pos="436"/>
                <w:tab w:val="left" w:pos="492"/>
              </w:tabs>
              <w:snapToGrid w:val="0"/>
              <w:spacing w:line="420" w:lineRule="exact"/>
              <w:jc w:val="left"/>
              <w:rPr>
                <w:rFonts w:ascii="宋体" w:hAnsi="宋体"/>
                <w:color w:val="auto"/>
                <w:kern w:val="0"/>
                <w:szCs w:val="21"/>
                <w:highlight w:val="none"/>
              </w:rPr>
            </w:pPr>
            <w:r>
              <w:rPr>
                <w:rFonts w:hint="eastAsia" w:ascii="宋体" w:hAnsi="宋体" w:eastAsia="宋体" w:cs="Times New Roman"/>
                <w:color w:val="auto"/>
                <w:szCs w:val="21"/>
                <w:highlight w:val="none"/>
                <w:lang w:val="en-US" w:eastAsia="zh-CN"/>
              </w:rPr>
              <w:t>不考虑</w:t>
            </w:r>
          </w:p>
        </w:tc>
      </w:tr>
      <w:tr w14:paraId="6961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88" w:type="dxa"/>
            <w:noWrap w:val="0"/>
            <w:vAlign w:val="center"/>
          </w:tcPr>
          <w:p w14:paraId="26D5AA4B">
            <w:pPr>
              <w:snapToGrid w:val="0"/>
              <w:spacing w:line="420" w:lineRule="exact"/>
              <w:jc w:val="center"/>
              <w:rPr>
                <w:rFonts w:ascii="宋体" w:hAnsi="宋体"/>
                <w:b/>
                <w:color w:val="auto"/>
                <w:kern w:val="0"/>
                <w:szCs w:val="21"/>
                <w:highlight w:val="none"/>
              </w:rPr>
            </w:pPr>
            <w:r>
              <w:rPr>
                <w:rFonts w:hint="eastAsia" w:ascii="宋体" w:hAnsi="宋体"/>
                <w:b/>
                <w:color w:val="auto"/>
                <w:kern w:val="0"/>
                <w:szCs w:val="21"/>
                <w:highlight w:val="none"/>
              </w:rPr>
              <w:t>3</w:t>
            </w:r>
            <w:r>
              <w:rPr>
                <w:rFonts w:hint="eastAsia" w:ascii="宋体" w:hAnsi="宋体"/>
                <w:b/>
                <w:color w:val="auto"/>
                <w:kern w:val="0"/>
                <w:szCs w:val="21"/>
                <w:highlight w:val="none"/>
                <w:lang w:val="en-US" w:eastAsia="zh-CN"/>
              </w:rPr>
              <w:t>5</w:t>
            </w:r>
          </w:p>
        </w:tc>
        <w:tc>
          <w:tcPr>
            <w:tcW w:w="1897" w:type="dxa"/>
            <w:noWrap w:val="0"/>
            <w:vAlign w:val="center"/>
          </w:tcPr>
          <w:p w14:paraId="53E61717">
            <w:pPr>
              <w:tabs>
                <w:tab w:val="left" w:pos="436"/>
                <w:tab w:val="left" w:pos="492"/>
              </w:tabs>
              <w:snapToGrid w:val="0"/>
              <w:spacing w:line="420" w:lineRule="exact"/>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比选文件售价</w:t>
            </w:r>
          </w:p>
        </w:tc>
        <w:tc>
          <w:tcPr>
            <w:tcW w:w="6662" w:type="dxa"/>
            <w:noWrap w:val="0"/>
            <w:vAlign w:val="center"/>
          </w:tcPr>
          <w:p w14:paraId="37457FFC">
            <w:pPr>
              <w:tabs>
                <w:tab w:val="left" w:pos="436"/>
                <w:tab w:val="left" w:pos="492"/>
              </w:tabs>
              <w:snapToGrid w:val="0"/>
              <w:spacing w:line="420" w:lineRule="exac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比选文件每套售价500元，由竞选人在递交竞选文件时递交，售后不退。</w:t>
            </w:r>
          </w:p>
        </w:tc>
      </w:tr>
      <w:tr w14:paraId="1019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88" w:type="dxa"/>
            <w:noWrap w:val="0"/>
            <w:vAlign w:val="center"/>
          </w:tcPr>
          <w:p w14:paraId="22173A1A">
            <w:pPr>
              <w:snapToGrid w:val="0"/>
              <w:spacing w:line="420" w:lineRule="exact"/>
              <w:jc w:val="center"/>
              <w:rPr>
                <w:rFonts w:hint="eastAsia" w:ascii="宋体" w:hAnsi="宋体"/>
                <w:b/>
                <w:color w:val="auto"/>
                <w:kern w:val="0"/>
                <w:szCs w:val="21"/>
                <w:highlight w:val="none"/>
              </w:rPr>
            </w:pPr>
            <w:r>
              <w:rPr>
                <w:rFonts w:hint="eastAsia" w:ascii="宋体" w:hAnsi="宋体"/>
                <w:b/>
                <w:color w:val="auto"/>
                <w:kern w:val="0"/>
                <w:szCs w:val="21"/>
                <w:highlight w:val="none"/>
              </w:rPr>
              <w:t>3</w:t>
            </w:r>
            <w:r>
              <w:rPr>
                <w:rFonts w:hint="eastAsia" w:ascii="宋体" w:hAnsi="宋体"/>
                <w:b/>
                <w:color w:val="auto"/>
                <w:kern w:val="0"/>
                <w:szCs w:val="21"/>
                <w:highlight w:val="none"/>
                <w:lang w:val="en-US" w:eastAsia="zh-CN"/>
              </w:rPr>
              <w:t>6</w:t>
            </w:r>
          </w:p>
        </w:tc>
        <w:tc>
          <w:tcPr>
            <w:tcW w:w="1897" w:type="dxa"/>
            <w:noWrap w:val="0"/>
            <w:vAlign w:val="center"/>
          </w:tcPr>
          <w:p w14:paraId="74827B38">
            <w:pPr>
              <w:snapToGrid w:val="0"/>
              <w:spacing w:line="420" w:lineRule="exact"/>
              <w:jc w:val="center"/>
              <w:rPr>
                <w:rFonts w:hint="eastAsia" w:ascii="宋体" w:hAnsi="宋体" w:eastAsia="宋体" w:cs="Times New Roman"/>
                <w:color w:val="auto"/>
                <w:szCs w:val="21"/>
                <w:highlight w:val="none"/>
              </w:rPr>
            </w:pPr>
            <w:r>
              <w:rPr>
                <w:rFonts w:hint="eastAsia" w:ascii="宋体" w:hAnsi="宋体"/>
                <w:color w:val="auto"/>
                <w:kern w:val="0"/>
                <w:szCs w:val="21"/>
                <w:highlight w:val="none"/>
              </w:rPr>
              <w:t>合同签订</w:t>
            </w:r>
          </w:p>
        </w:tc>
        <w:tc>
          <w:tcPr>
            <w:tcW w:w="6662" w:type="dxa"/>
            <w:noWrap w:val="0"/>
            <w:vAlign w:val="center"/>
          </w:tcPr>
          <w:p w14:paraId="1AD637F1">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发包人</w:t>
            </w:r>
            <w:r>
              <w:rPr>
                <w:rFonts w:hint="eastAsia" w:ascii="宋体" w:hAnsi="宋体"/>
                <w:color w:val="auto"/>
                <w:szCs w:val="21"/>
                <w:highlight w:val="none"/>
              </w:rPr>
              <w:t>与中选人应当在中选通知书发出之日起5个工作日内，按照比选文件确定的合同文本以及中选价、质量、技术和服务要求、履行期限等事项签订合同。</w:t>
            </w:r>
          </w:p>
          <w:p w14:paraId="083034C8">
            <w:pPr>
              <w:tabs>
                <w:tab w:val="left" w:pos="436"/>
                <w:tab w:val="left" w:pos="492"/>
              </w:tabs>
              <w:snapToGrid w:val="0"/>
              <w:spacing w:line="420" w:lineRule="exact"/>
              <w:ind w:firstLine="420" w:firstLineChars="200"/>
              <w:rPr>
                <w:rFonts w:hint="eastAsia" w:ascii="宋体" w:hAnsi="宋体" w:eastAsia="宋体" w:cs="Times New Roman"/>
                <w:color w:val="auto"/>
                <w:szCs w:val="21"/>
                <w:highlight w:val="none"/>
              </w:rPr>
            </w:pPr>
            <w:r>
              <w:rPr>
                <w:rFonts w:ascii="宋体" w:hAnsi="宋体"/>
                <w:color w:val="auto"/>
                <w:szCs w:val="21"/>
                <w:highlight w:val="none"/>
              </w:rPr>
              <w:t>2.</w:t>
            </w:r>
            <w:r>
              <w:rPr>
                <w:rFonts w:hint="eastAsia" w:ascii="宋体" w:hAnsi="宋体"/>
                <w:color w:val="auto"/>
                <w:szCs w:val="21"/>
                <w:highlight w:val="none"/>
              </w:rPr>
              <w:t>中选人无正当理由拒签合同的，</w:t>
            </w:r>
            <w:r>
              <w:rPr>
                <w:rFonts w:hint="eastAsia" w:ascii="宋体" w:hAnsi="宋体"/>
                <w:color w:val="auto"/>
                <w:szCs w:val="21"/>
                <w:highlight w:val="none"/>
                <w:lang w:val="en-US" w:eastAsia="zh-CN"/>
              </w:rPr>
              <w:t>发包人</w:t>
            </w:r>
            <w:r>
              <w:rPr>
                <w:rFonts w:hint="eastAsia" w:ascii="宋体" w:hAnsi="宋体"/>
                <w:color w:val="auto"/>
                <w:szCs w:val="21"/>
                <w:highlight w:val="none"/>
              </w:rPr>
              <w:t>取消其承包资格。排名第一的中选侯选人放弃承包的、因不可抗力不能履行合同，或者被查实存在影响成交结果的违法行为等情形，不符合承包条件的，</w:t>
            </w:r>
            <w:r>
              <w:rPr>
                <w:rFonts w:hint="eastAsia" w:ascii="宋体" w:hAnsi="宋体"/>
                <w:color w:val="auto"/>
                <w:szCs w:val="21"/>
                <w:highlight w:val="none"/>
                <w:lang w:val="en-US" w:eastAsia="zh-CN"/>
              </w:rPr>
              <w:t>发包人</w:t>
            </w:r>
            <w:r>
              <w:rPr>
                <w:rFonts w:hint="eastAsia" w:ascii="宋体" w:hAnsi="宋体"/>
                <w:color w:val="auto"/>
                <w:szCs w:val="21"/>
                <w:highlight w:val="none"/>
              </w:rPr>
              <w:t>可以按照候选中选人名单排序依次确定其他候选人为中选人，也可以重新组织比选，确定中选人。</w:t>
            </w:r>
          </w:p>
        </w:tc>
      </w:tr>
      <w:tr w14:paraId="60F0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88" w:type="dxa"/>
            <w:noWrap w:val="0"/>
            <w:vAlign w:val="center"/>
          </w:tcPr>
          <w:p w14:paraId="0B5EC163">
            <w:pPr>
              <w:snapToGrid w:val="0"/>
              <w:spacing w:line="420" w:lineRule="exact"/>
              <w:jc w:val="center"/>
              <w:rPr>
                <w:rFonts w:hint="eastAsia" w:ascii="宋体" w:hAnsi="宋体" w:eastAsia="宋体"/>
                <w:b/>
                <w:color w:val="auto"/>
                <w:kern w:val="0"/>
                <w:szCs w:val="21"/>
                <w:highlight w:val="none"/>
                <w:lang w:eastAsia="zh-CN"/>
              </w:rPr>
            </w:pPr>
            <w:r>
              <w:rPr>
                <w:rFonts w:hint="eastAsia" w:ascii="宋体" w:hAnsi="宋体"/>
                <w:b/>
                <w:color w:val="auto"/>
                <w:kern w:val="0"/>
                <w:szCs w:val="21"/>
                <w:highlight w:val="none"/>
              </w:rPr>
              <w:t>3</w:t>
            </w:r>
            <w:r>
              <w:rPr>
                <w:rFonts w:hint="eastAsia" w:ascii="宋体" w:hAnsi="宋体"/>
                <w:b/>
                <w:color w:val="auto"/>
                <w:kern w:val="0"/>
                <w:szCs w:val="21"/>
                <w:highlight w:val="none"/>
                <w:lang w:val="en-US" w:eastAsia="zh-CN"/>
              </w:rPr>
              <w:t>7</w:t>
            </w:r>
          </w:p>
        </w:tc>
        <w:tc>
          <w:tcPr>
            <w:tcW w:w="1897" w:type="dxa"/>
            <w:noWrap w:val="0"/>
            <w:vAlign w:val="top"/>
          </w:tcPr>
          <w:p w14:paraId="0CB337E0">
            <w:pPr>
              <w:pStyle w:val="17"/>
              <w:rPr>
                <w:rFonts w:ascii="Times New Roman"/>
                <w:color w:val="auto"/>
                <w:sz w:val="20"/>
                <w:highlight w:val="none"/>
              </w:rPr>
            </w:pPr>
          </w:p>
          <w:p w14:paraId="3E9DA9F4">
            <w:pPr>
              <w:pStyle w:val="17"/>
              <w:rPr>
                <w:rFonts w:ascii="Times New Roman"/>
                <w:color w:val="auto"/>
                <w:sz w:val="20"/>
                <w:highlight w:val="none"/>
              </w:rPr>
            </w:pPr>
          </w:p>
          <w:p w14:paraId="5F20993F">
            <w:pPr>
              <w:pStyle w:val="17"/>
              <w:rPr>
                <w:rFonts w:ascii="Times New Roman"/>
                <w:color w:val="auto"/>
                <w:sz w:val="20"/>
                <w:highlight w:val="none"/>
              </w:rPr>
            </w:pPr>
          </w:p>
          <w:p w14:paraId="167F6B19">
            <w:pPr>
              <w:pStyle w:val="17"/>
              <w:rPr>
                <w:rFonts w:ascii="Times New Roman"/>
                <w:color w:val="auto"/>
                <w:sz w:val="20"/>
                <w:highlight w:val="none"/>
              </w:rPr>
            </w:pPr>
          </w:p>
          <w:p w14:paraId="5B153CFD">
            <w:pPr>
              <w:pStyle w:val="17"/>
              <w:rPr>
                <w:rFonts w:ascii="Times New Roman"/>
                <w:color w:val="auto"/>
                <w:sz w:val="20"/>
                <w:highlight w:val="none"/>
              </w:rPr>
            </w:pPr>
          </w:p>
          <w:p w14:paraId="49D3FD98">
            <w:pPr>
              <w:pStyle w:val="17"/>
              <w:spacing w:before="9"/>
              <w:rPr>
                <w:rFonts w:ascii="Times New Roman"/>
                <w:color w:val="auto"/>
                <w:sz w:val="23"/>
                <w:highlight w:val="none"/>
              </w:rPr>
            </w:pPr>
          </w:p>
          <w:p w14:paraId="2B96830C">
            <w:pPr>
              <w:pStyle w:val="17"/>
              <w:spacing w:before="1"/>
              <w:ind w:left="418" w:leftChars="0"/>
              <w:rPr>
                <w:rFonts w:hint="eastAsia" w:ascii="宋体" w:hAnsi="宋体"/>
                <w:color w:val="auto"/>
                <w:kern w:val="0"/>
                <w:szCs w:val="21"/>
                <w:highlight w:val="none"/>
              </w:rPr>
            </w:pPr>
            <w:r>
              <w:rPr>
                <w:color w:val="auto"/>
                <w:highlight w:val="none"/>
              </w:rPr>
              <w:t>投诉处理</w:t>
            </w:r>
          </w:p>
        </w:tc>
        <w:tc>
          <w:tcPr>
            <w:tcW w:w="6662" w:type="dxa"/>
            <w:noWrap w:val="0"/>
            <w:vAlign w:val="top"/>
          </w:tcPr>
          <w:p w14:paraId="48B85A2A">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1.竞选人或者其他利害关系人就比选结果等事项投诉的，应当先向比选人提出异议；比选人应当在规定时间内答复；对比选人的答复不满意的，或比选人未答复的，可向行业监督部门投诉。</w:t>
            </w:r>
          </w:p>
          <w:p w14:paraId="2F026A03">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2.行业监督部门依照《招标投标法》、《招标投标法实施条例》、《重庆市招标投标条例》、《工程建设项目招标投标活动投诉处理办法》（七部委令第 11 号（根据九部门 2013 年第 23 号令修正））、《重庆市招标投标活动投诉处理实施细则》（渝发改标[2014]1168 号）等法律法规文件处理投诉。</w:t>
            </w:r>
          </w:p>
          <w:p w14:paraId="18730C7F">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3.投诉人捏造事实、伪造材料或者以非法手段取得证明材料进行投诉的，行政监督部门应当予以驳回；给他人造成损失的，依法承担赔偿责任。</w:t>
            </w:r>
          </w:p>
        </w:tc>
      </w:tr>
      <w:tr w14:paraId="57DA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88" w:type="dxa"/>
            <w:noWrap w:val="0"/>
            <w:vAlign w:val="center"/>
          </w:tcPr>
          <w:p w14:paraId="4B11A7F7">
            <w:pPr>
              <w:snapToGrid w:val="0"/>
              <w:spacing w:line="420" w:lineRule="exact"/>
              <w:jc w:val="center"/>
              <w:rPr>
                <w:rFonts w:hint="eastAsia" w:ascii="宋体" w:hAnsi="宋体" w:eastAsia="宋体"/>
                <w:b/>
                <w:color w:val="auto"/>
                <w:kern w:val="0"/>
                <w:szCs w:val="21"/>
                <w:highlight w:val="none"/>
                <w:lang w:eastAsia="zh-CN"/>
              </w:rPr>
            </w:pPr>
            <w:r>
              <w:rPr>
                <w:rFonts w:hint="eastAsia" w:ascii="宋体" w:hAnsi="宋体"/>
                <w:b/>
                <w:color w:val="auto"/>
                <w:kern w:val="0"/>
                <w:szCs w:val="21"/>
                <w:highlight w:val="none"/>
                <w:lang w:val="en-US" w:eastAsia="zh-CN"/>
              </w:rPr>
              <w:t>38</w:t>
            </w:r>
          </w:p>
        </w:tc>
        <w:tc>
          <w:tcPr>
            <w:tcW w:w="1897" w:type="dxa"/>
            <w:noWrap w:val="0"/>
            <w:vAlign w:val="top"/>
          </w:tcPr>
          <w:p w14:paraId="10C27745">
            <w:pPr>
              <w:pStyle w:val="17"/>
              <w:rPr>
                <w:rFonts w:ascii="Times New Roman"/>
                <w:color w:val="auto"/>
                <w:sz w:val="20"/>
                <w:highlight w:val="none"/>
              </w:rPr>
            </w:pPr>
          </w:p>
          <w:p w14:paraId="2AE35B4E">
            <w:pPr>
              <w:pStyle w:val="17"/>
              <w:spacing w:before="3"/>
              <w:rPr>
                <w:rFonts w:ascii="Times New Roman"/>
                <w:color w:val="auto"/>
                <w:sz w:val="24"/>
                <w:highlight w:val="none"/>
              </w:rPr>
            </w:pPr>
          </w:p>
          <w:p w14:paraId="29CF0D14">
            <w:pPr>
              <w:pStyle w:val="17"/>
              <w:ind w:left="207" w:leftChars="0" w:right="196" w:rightChars="0"/>
              <w:jc w:val="center"/>
              <w:rPr>
                <w:rFonts w:hint="eastAsia"/>
                <w:b/>
                <w:color w:val="auto"/>
                <w:kern w:val="0"/>
                <w:szCs w:val="21"/>
                <w:highlight w:val="none"/>
              </w:rPr>
            </w:pPr>
            <w:r>
              <w:rPr>
                <w:color w:val="auto"/>
                <w:highlight w:val="none"/>
              </w:rPr>
              <w:t>关于对比选文件及竞选争议的解释</w:t>
            </w:r>
          </w:p>
        </w:tc>
        <w:tc>
          <w:tcPr>
            <w:tcW w:w="6662" w:type="dxa"/>
            <w:noWrap w:val="0"/>
            <w:vAlign w:val="top"/>
          </w:tcPr>
          <w:p w14:paraId="27E0D1D0">
            <w:pPr>
              <w:pStyle w:val="17"/>
              <w:tabs>
                <w:tab w:val="left" w:pos="742"/>
              </w:tabs>
              <w:spacing w:before="20" w:line="278" w:lineRule="auto"/>
              <w:ind w:right="-15" w:firstLine="420" w:firstLineChars="200"/>
              <w:jc w:val="left"/>
              <w:rPr>
                <w:color w:val="auto"/>
                <w:highlight w:val="none"/>
                <w:lang w:val="en-US"/>
              </w:rPr>
            </w:pPr>
            <w:r>
              <w:rPr>
                <w:color w:val="auto"/>
                <w:highlight w:val="none"/>
                <w:lang w:val="en-US"/>
              </w:rPr>
              <w:t>对比选文件的评审标准和方法，以及资格审查和否决竞标条款理解有争议的，应当作出不利于比选人的解释，但违背国家利益、社会公共利益的除外。</w:t>
            </w:r>
          </w:p>
          <w:p w14:paraId="7AC4430E">
            <w:pPr>
              <w:pStyle w:val="17"/>
              <w:tabs>
                <w:tab w:val="left" w:pos="742"/>
              </w:tabs>
              <w:spacing w:before="20" w:line="278" w:lineRule="auto"/>
              <w:ind w:right="-15" w:rightChars="0" w:firstLine="420" w:firstLineChars="200"/>
              <w:jc w:val="left"/>
              <w:rPr>
                <w:rFonts w:hint="eastAsia"/>
                <w:b/>
                <w:color w:val="auto"/>
                <w:kern w:val="0"/>
                <w:szCs w:val="21"/>
                <w:highlight w:val="none"/>
              </w:rPr>
            </w:pPr>
            <w:r>
              <w:rPr>
                <w:color w:val="auto"/>
                <w:highlight w:val="none"/>
                <w:lang w:val="en-US"/>
              </w:rPr>
              <w:t>对竞选文件理解有争议的，应当作出不利于提交该竞选文件的竞选人的解释。</w:t>
            </w:r>
          </w:p>
        </w:tc>
      </w:tr>
      <w:tr w14:paraId="1EBC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88" w:type="dxa"/>
            <w:noWrap w:val="0"/>
            <w:vAlign w:val="center"/>
          </w:tcPr>
          <w:p w14:paraId="5FB8FF32">
            <w:pPr>
              <w:snapToGrid w:val="0"/>
              <w:spacing w:line="420" w:lineRule="exact"/>
              <w:jc w:val="center"/>
              <w:rPr>
                <w:rFonts w:hint="default" w:ascii="宋体" w:hAnsi="宋体" w:eastAsia="宋体"/>
                <w:b/>
                <w:color w:val="auto"/>
                <w:kern w:val="0"/>
                <w:szCs w:val="21"/>
                <w:highlight w:val="none"/>
                <w:lang w:val="en-US" w:eastAsia="zh-CN"/>
              </w:rPr>
            </w:pPr>
            <w:r>
              <w:rPr>
                <w:rFonts w:hint="eastAsia" w:ascii="宋体" w:hAnsi="宋体"/>
                <w:b/>
                <w:color w:val="auto"/>
                <w:kern w:val="0"/>
                <w:szCs w:val="21"/>
                <w:highlight w:val="none"/>
                <w:lang w:val="en-US" w:eastAsia="zh-CN"/>
              </w:rPr>
              <w:t>39</w:t>
            </w:r>
          </w:p>
        </w:tc>
        <w:tc>
          <w:tcPr>
            <w:tcW w:w="1897" w:type="dxa"/>
            <w:noWrap w:val="0"/>
            <w:vAlign w:val="center"/>
          </w:tcPr>
          <w:p w14:paraId="6A2B01A8">
            <w:pPr>
              <w:pStyle w:val="17"/>
              <w:jc w:val="center"/>
              <w:rPr>
                <w:rFonts w:ascii="Times New Roman"/>
                <w:color w:val="auto"/>
                <w:sz w:val="20"/>
                <w:highlight w:val="none"/>
              </w:rPr>
            </w:pPr>
          </w:p>
          <w:p w14:paraId="58B78F05">
            <w:pPr>
              <w:pStyle w:val="17"/>
              <w:ind w:left="207" w:leftChars="0" w:right="196" w:rightChars="0"/>
              <w:jc w:val="center"/>
              <w:rPr>
                <w:rFonts w:hint="eastAsia"/>
                <w:b/>
                <w:color w:val="auto"/>
                <w:kern w:val="0"/>
                <w:szCs w:val="21"/>
                <w:highlight w:val="none"/>
              </w:rPr>
            </w:pPr>
            <w:r>
              <w:rPr>
                <w:color w:val="auto"/>
                <w:highlight w:val="none"/>
              </w:rPr>
              <w:t>其它说明</w:t>
            </w:r>
          </w:p>
        </w:tc>
        <w:tc>
          <w:tcPr>
            <w:tcW w:w="6662" w:type="dxa"/>
            <w:noWrap w:val="0"/>
            <w:vAlign w:val="top"/>
          </w:tcPr>
          <w:p w14:paraId="162C06AE">
            <w:pPr>
              <w:spacing w:line="420" w:lineRule="exact"/>
              <w:ind w:firstLine="411" w:firstLineChars="196"/>
              <w:rPr>
                <w:rFonts w:hint="eastAsia"/>
                <w:color w:val="auto"/>
                <w:highlight w:val="none"/>
              </w:rPr>
            </w:pPr>
            <w:r>
              <w:rPr>
                <w:rFonts w:hint="eastAsia"/>
                <w:color w:val="auto"/>
                <w:highlight w:val="none"/>
              </w:rPr>
              <w:t>1、竞选人须在资格审查文件中承诺：我公司若中标，将在合同谈判时向贵单位提供参与本项目施工工作（按竞选文件）的人员名单，并附相应人员的身份证、执业资格证、职称证书、社保缴费证明等证明材料作为合同附件并作为合同文件的组成部分。如果我公司在合同谈判时，不能向贵单位提供上述材料（除不可抗力因素），视为我公司放弃中标候选人资格。</w:t>
            </w:r>
          </w:p>
          <w:p w14:paraId="05C0479D">
            <w:pPr>
              <w:pStyle w:val="17"/>
              <w:tabs>
                <w:tab w:val="left" w:pos="742"/>
              </w:tabs>
              <w:spacing w:before="20" w:line="278" w:lineRule="auto"/>
              <w:ind w:right="-15" w:rightChars="0" w:firstLine="420" w:firstLineChars="200"/>
              <w:jc w:val="left"/>
              <w:rPr>
                <w:rFonts w:hint="eastAsia"/>
                <w:b/>
                <w:color w:val="auto"/>
                <w:kern w:val="0"/>
                <w:szCs w:val="21"/>
                <w:highlight w:val="none"/>
              </w:rPr>
            </w:pPr>
            <w:r>
              <w:rPr>
                <w:rFonts w:hint="eastAsia"/>
                <w:color w:val="auto"/>
                <w:highlight w:val="none"/>
                <w:lang w:val="en-US"/>
              </w:rPr>
              <w:t>2、竞选人须在资格审查文件中承诺：我公司若中标，将在合同谈判结束后7日内向贵单位提供主要设备进场清单。如果我公司在合同谈判结束后7日内，不能向贵单位提供上述材料（除不可抗力因素），视为我公司放弃中标候选人资格。</w:t>
            </w:r>
          </w:p>
        </w:tc>
      </w:tr>
    </w:tbl>
    <w:p w14:paraId="5F224C5E">
      <w:pPr>
        <w:pStyle w:val="4"/>
        <w:keepNext w:val="0"/>
        <w:keepLines w:val="0"/>
        <w:pageBreakBefore/>
        <w:widowControl w:val="0"/>
        <w:numPr>
          <w:ilvl w:val="0"/>
          <w:numId w:val="0"/>
        </w:numPr>
        <w:kinsoku/>
        <w:wordWrap/>
        <w:overflowPunct/>
        <w:topLinePunct w:val="0"/>
        <w:autoSpaceDE w:val="0"/>
        <w:autoSpaceDN w:val="0"/>
        <w:bidi w:val="0"/>
        <w:adjustRightInd w:val="0"/>
        <w:snapToGrid w:val="0"/>
        <w:jc w:val="center"/>
        <w:textAlignment w:val="auto"/>
        <w:rPr>
          <w:rFonts w:hint="eastAsia"/>
          <w:color w:val="auto"/>
          <w:sz w:val="32"/>
          <w:szCs w:val="32"/>
          <w:highlight w:val="none"/>
        </w:rPr>
      </w:pPr>
      <w:bookmarkStart w:id="19" w:name="_Toc290043916"/>
      <w:bookmarkStart w:id="20" w:name="_Toc457204477"/>
      <w:bookmarkStart w:id="21" w:name="_Toc32036"/>
      <w:bookmarkStart w:id="22" w:name="_Toc370718261"/>
      <w:r>
        <w:rPr>
          <w:rFonts w:hint="eastAsia"/>
          <w:color w:val="auto"/>
          <w:sz w:val="32"/>
          <w:szCs w:val="32"/>
          <w:highlight w:val="none"/>
          <w:lang w:val="en-US" w:eastAsia="zh-CN"/>
        </w:rPr>
        <w:t>第三章</w:t>
      </w:r>
      <w:r>
        <w:rPr>
          <w:rFonts w:hint="eastAsia"/>
          <w:color w:val="auto"/>
          <w:sz w:val="32"/>
          <w:szCs w:val="32"/>
          <w:highlight w:val="none"/>
        </w:rPr>
        <w:t xml:space="preserve"> 评选办法</w:t>
      </w:r>
      <w:bookmarkEnd w:id="19"/>
      <w:bookmarkEnd w:id="20"/>
      <w:bookmarkEnd w:id="21"/>
      <w:bookmarkEnd w:id="22"/>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经评审的最低投标价法</w:t>
      </w:r>
      <w:r>
        <w:rPr>
          <w:rFonts w:hint="eastAsia" w:ascii="Times New Roman" w:hAnsi="Times New Roman" w:cs="Times New Roman"/>
          <w:color w:val="auto"/>
          <w:sz w:val="32"/>
          <w:szCs w:val="32"/>
          <w:highlight w:val="none"/>
          <w:lang w:eastAsia="zh-CN"/>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12"/>
        <w:gridCol w:w="2313"/>
        <w:gridCol w:w="5559"/>
      </w:tblGrid>
      <w:tr w14:paraId="39A3A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1F4B1ED1">
            <w:pPr>
              <w:spacing w:line="400" w:lineRule="exact"/>
              <w:jc w:val="center"/>
              <w:rPr>
                <w:rFonts w:hint="eastAsia" w:ascii="宋体" w:hAnsi="宋体"/>
                <w:color w:val="auto"/>
                <w:kern w:val="0"/>
                <w:sz w:val="20"/>
                <w:szCs w:val="20"/>
                <w:highlight w:val="none"/>
              </w:rPr>
            </w:pPr>
            <w:r>
              <w:rPr>
                <w:rFonts w:ascii="宋体" w:hAnsi="宋体"/>
                <w:b/>
                <w:color w:val="auto"/>
                <w:kern w:val="0"/>
                <w:sz w:val="22"/>
                <w:szCs w:val="28"/>
                <w:highlight w:val="none"/>
              </w:rPr>
              <w:t>条款号</w:t>
            </w:r>
          </w:p>
        </w:tc>
        <w:tc>
          <w:tcPr>
            <w:tcW w:w="1212" w:type="dxa"/>
            <w:noWrap w:val="0"/>
            <w:vAlign w:val="center"/>
          </w:tcPr>
          <w:p w14:paraId="1474FB33">
            <w:pPr>
              <w:spacing w:line="400" w:lineRule="exact"/>
              <w:jc w:val="center"/>
              <w:rPr>
                <w:rFonts w:hint="eastAsia" w:ascii="宋体" w:hAnsi="宋体"/>
                <w:color w:val="auto"/>
                <w:kern w:val="0"/>
                <w:sz w:val="20"/>
                <w:szCs w:val="20"/>
                <w:highlight w:val="none"/>
              </w:rPr>
            </w:pPr>
            <w:r>
              <w:rPr>
                <w:rFonts w:ascii="宋体" w:hAnsi="宋体"/>
                <w:b/>
                <w:color w:val="auto"/>
                <w:kern w:val="0"/>
                <w:sz w:val="22"/>
                <w:szCs w:val="28"/>
                <w:highlight w:val="none"/>
              </w:rPr>
              <w:t>评审因素</w:t>
            </w:r>
          </w:p>
        </w:tc>
        <w:tc>
          <w:tcPr>
            <w:tcW w:w="7872" w:type="dxa"/>
            <w:gridSpan w:val="2"/>
            <w:noWrap w:val="0"/>
            <w:vAlign w:val="center"/>
          </w:tcPr>
          <w:p w14:paraId="14346585">
            <w:pPr>
              <w:spacing w:line="400" w:lineRule="exact"/>
              <w:jc w:val="center"/>
              <w:rPr>
                <w:rFonts w:hint="eastAsia" w:ascii="宋体" w:hAnsi="宋体"/>
                <w:color w:val="auto"/>
                <w:kern w:val="0"/>
                <w:sz w:val="20"/>
                <w:szCs w:val="20"/>
                <w:highlight w:val="none"/>
              </w:rPr>
            </w:pPr>
            <w:r>
              <w:rPr>
                <w:rFonts w:ascii="宋体" w:hAnsi="宋体"/>
                <w:b/>
                <w:color w:val="auto"/>
                <w:kern w:val="0"/>
                <w:sz w:val="22"/>
                <w:szCs w:val="28"/>
                <w:highlight w:val="none"/>
              </w:rPr>
              <w:t>评审标准</w:t>
            </w:r>
          </w:p>
        </w:tc>
      </w:tr>
      <w:tr w14:paraId="60E5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restart"/>
            <w:noWrap w:val="0"/>
            <w:vAlign w:val="center"/>
          </w:tcPr>
          <w:p w14:paraId="69D4F44D">
            <w:pPr>
              <w:spacing w:line="400" w:lineRule="exact"/>
              <w:jc w:val="center"/>
              <w:rPr>
                <w:rFonts w:hint="eastAsia" w:ascii="宋体" w:hAnsi="宋体"/>
                <w:color w:val="auto"/>
                <w:kern w:val="0"/>
                <w:sz w:val="20"/>
                <w:szCs w:val="20"/>
                <w:highlight w:val="none"/>
              </w:rPr>
            </w:pPr>
            <w:r>
              <w:rPr>
                <w:rFonts w:hint="eastAsia" w:ascii="宋体" w:hAnsi="宋体" w:cs="宋体"/>
                <w:color w:val="auto"/>
                <w:szCs w:val="21"/>
                <w:highlight w:val="none"/>
              </w:rPr>
              <w:t>1</w:t>
            </w:r>
          </w:p>
        </w:tc>
        <w:tc>
          <w:tcPr>
            <w:tcW w:w="1212" w:type="dxa"/>
            <w:vMerge w:val="restart"/>
            <w:noWrap w:val="0"/>
            <w:vAlign w:val="center"/>
          </w:tcPr>
          <w:p w14:paraId="660EC1A9">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资格评审标准</w:t>
            </w:r>
          </w:p>
        </w:tc>
        <w:tc>
          <w:tcPr>
            <w:tcW w:w="2313" w:type="dxa"/>
            <w:noWrap w:val="0"/>
            <w:vAlign w:val="center"/>
          </w:tcPr>
          <w:p w14:paraId="379D9DAA">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资质等级</w:t>
            </w:r>
          </w:p>
        </w:tc>
        <w:tc>
          <w:tcPr>
            <w:tcW w:w="5559" w:type="dxa"/>
            <w:noWrap w:val="0"/>
            <w:vAlign w:val="center"/>
          </w:tcPr>
          <w:p w14:paraId="231C7326">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22D7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4B468186">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584F8498">
            <w:pPr>
              <w:spacing w:line="400" w:lineRule="exact"/>
              <w:jc w:val="center"/>
              <w:rPr>
                <w:rFonts w:hint="eastAsia" w:ascii="宋体" w:hAnsi="宋体"/>
                <w:color w:val="auto"/>
                <w:kern w:val="0"/>
                <w:sz w:val="20"/>
                <w:szCs w:val="20"/>
                <w:highlight w:val="none"/>
              </w:rPr>
            </w:pPr>
          </w:p>
        </w:tc>
        <w:tc>
          <w:tcPr>
            <w:tcW w:w="2313" w:type="dxa"/>
            <w:noWrap w:val="0"/>
            <w:vAlign w:val="center"/>
          </w:tcPr>
          <w:p w14:paraId="0D099FDE">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营业执照</w:t>
            </w:r>
          </w:p>
        </w:tc>
        <w:tc>
          <w:tcPr>
            <w:tcW w:w="5559" w:type="dxa"/>
            <w:noWrap w:val="0"/>
            <w:vAlign w:val="center"/>
          </w:tcPr>
          <w:p w14:paraId="1CA18C39">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54BA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766A080C">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1D04DA8E">
            <w:pPr>
              <w:spacing w:line="400" w:lineRule="exact"/>
              <w:jc w:val="center"/>
              <w:rPr>
                <w:rFonts w:hint="eastAsia" w:ascii="宋体" w:hAnsi="宋体"/>
                <w:color w:val="auto"/>
                <w:kern w:val="0"/>
                <w:sz w:val="20"/>
                <w:szCs w:val="20"/>
                <w:highlight w:val="none"/>
              </w:rPr>
            </w:pPr>
          </w:p>
        </w:tc>
        <w:tc>
          <w:tcPr>
            <w:tcW w:w="2313" w:type="dxa"/>
            <w:noWrap w:val="0"/>
            <w:vAlign w:val="center"/>
          </w:tcPr>
          <w:p w14:paraId="4E784193">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安全生产条件</w:t>
            </w:r>
          </w:p>
        </w:tc>
        <w:tc>
          <w:tcPr>
            <w:tcW w:w="5559" w:type="dxa"/>
            <w:noWrap w:val="0"/>
            <w:vAlign w:val="center"/>
          </w:tcPr>
          <w:p w14:paraId="14428F09">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11EF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119F67F5">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7F33F44F">
            <w:pPr>
              <w:spacing w:line="400" w:lineRule="exact"/>
              <w:jc w:val="center"/>
              <w:rPr>
                <w:rFonts w:hint="eastAsia" w:ascii="宋体" w:hAnsi="宋体"/>
                <w:color w:val="auto"/>
                <w:kern w:val="0"/>
                <w:sz w:val="20"/>
                <w:szCs w:val="20"/>
                <w:highlight w:val="none"/>
              </w:rPr>
            </w:pPr>
          </w:p>
        </w:tc>
        <w:tc>
          <w:tcPr>
            <w:tcW w:w="2313" w:type="dxa"/>
            <w:noWrap w:val="0"/>
            <w:vAlign w:val="center"/>
          </w:tcPr>
          <w:p w14:paraId="40AED10D">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szCs w:val="21"/>
                <w:highlight w:val="none"/>
              </w:rPr>
              <w:t>比选截止日竞选人资格情况</w:t>
            </w:r>
          </w:p>
        </w:tc>
        <w:tc>
          <w:tcPr>
            <w:tcW w:w="5559" w:type="dxa"/>
            <w:noWrap w:val="0"/>
            <w:vAlign w:val="center"/>
          </w:tcPr>
          <w:p w14:paraId="4C5ED82D">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5B66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17E20AFC">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1F4B1D53">
            <w:pPr>
              <w:spacing w:line="400" w:lineRule="exact"/>
              <w:jc w:val="center"/>
              <w:rPr>
                <w:rFonts w:hint="eastAsia" w:ascii="宋体" w:hAnsi="宋体"/>
                <w:color w:val="auto"/>
                <w:kern w:val="0"/>
                <w:sz w:val="20"/>
                <w:szCs w:val="20"/>
                <w:highlight w:val="none"/>
              </w:rPr>
            </w:pPr>
          </w:p>
        </w:tc>
        <w:tc>
          <w:tcPr>
            <w:tcW w:w="2313" w:type="dxa"/>
            <w:noWrap w:val="0"/>
            <w:vAlign w:val="center"/>
          </w:tcPr>
          <w:p w14:paraId="787F110D">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项目经理资格要求</w:t>
            </w:r>
          </w:p>
        </w:tc>
        <w:tc>
          <w:tcPr>
            <w:tcW w:w="5559" w:type="dxa"/>
            <w:noWrap w:val="0"/>
            <w:vAlign w:val="center"/>
          </w:tcPr>
          <w:p w14:paraId="1519B75B">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03AC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26F26AB5">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07A29855">
            <w:pPr>
              <w:spacing w:line="400" w:lineRule="exact"/>
              <w:jc w:val="center"/>
              <w:rPr>
                <w:rFonts w:hint="eastAsia" w:ascii="宋体" w:hAnsi="宋体"/>
                <w:color w:val="auto"/>
                <w:kern w:val="0"/>
                <w:sz w:val="20"/>
                <w:szCs w:val="20"/>
                <w:highlight w:val="none"/>
              </w:rPr>
            </w:pPr>
          </w:p>
        </w:tc>
        <w:tc>
          <w:tcPr>
            <w:tcW w:w="2313" w:type="dxa"/>
            <w:noWrap w:val="0"/>
            <w:vAlign w:val="center"/>
          </w:tcPr>
          <w:p w14:paraId="1B659788">
            <w:pPr>
              <w:adjustRightInd w:val="0"/>
              <w:snapToGrid w:val="0"/>
              <w:spacing w:line="360" w:lineRule="auto"/>
              <w:ind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 xml:space="preserve"> 其他要求</w:t>
            </w:r>
          </w:p>
        </w:tc>
        <w:tc>
          <w:tcPr>
            <w:tcW w:w="5559" w:type="dxa"/>
            <w:noWrap w:val="0"/>
            <w:vAlign w:val="center"/>
          </w:tcPr>
          <w:p w14:paraId="1F72AE79">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7FF6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restart"/>
            <w:noWrap w:val="0"/>
            <w:vAlign w:val="center"/>
          </w:tcPr>
          <w:p w14:paraId="3274B32C">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2</w:t>
            </w:r>
          </w:p>
        </w:tc>
        <w:tc>
          <w:tcPr>
            <w:tcW w:w="1212" w:type="dxa"/>
            <w:vMerge w:val="restart"/>
            <w:noWrap w:val="0"/>
            <w:vAlign w:val="center"/>
          </w:tcPr>
          <w:p w14:paraId="63871457">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形式评审标准</w:t>
            </w:r>
          </w:p>
        </w:tc>
        <w:tc>
          <w:tcPr>
            <w:tcW w:w="2313" w:type="dxa"/>
            <w:noWrap w:val="0"/>
            <w:vAlign w:val="center"/>
          </w:tcPr>
          <w:p w14:paraId="51681771">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竞选人名称</w:t>
            </w:r>
          </w:p>
        </w:tc>
        <w:tc>
          <w:tcPr>
            <w:tcW w:w="5559" w:type="dxa"/>
            <w:noWrap w:val="0"/>
            <w:vAlign w:val="center"/>
          </w:tcPr>
          <w:p w14:paraId="684493E9">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与营业执照、资质证书、安全生产许可证一致。</w:t>
            </w:r>
          </w:p>
        </w:tc>
      </w:tr>
      <w:tr w14:paraId="174E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2D0B996F">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73CEB0CF">
            <w:pPr>
              <w:spacing w:line="400" w:lineRule="exact"/>
              <w:jc w:val="center"/>
              <w:rPr>
                <w:rFonts w:hint="eastAsia" w:ascii="宋体" w:hAnsi="宋体"/>
                <w:color w:val="auto"/>
                <w:kern w:val="0"/>
                <w:sz w:val="20"/>
                <w:szCs w:val="20"/>
                <w:highlight w:val="none"/>
              </w:rPr>
            </w:pPr>
          </w:p>
        </w:tc>
        <w:tc>
          <w:tcPr>
            <w:tcW w:w="2313" w:type="dxa"/>
            <w:noWrap w:val="0"/>
            <w:vAlign w:val="center"/>
          </w:tcPr>
          <w:p w14:paraId="27EEFE33">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竞选函签字盖章</w:t>
            </w:r>
          </w:p>
        </w:tc>
        <w:tc>
          <w:tcPr>
            <w:tcW w:w="5559" w:type="dxa"/>
            <w:noWrap w:val="0"/>
            <w:vAlign w:val="center"/>
          </w:tcPr>
          <w:p w14:paraId="4213257A">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有法定代表人或其委托代理人签字（或盖章）、加盖单位公章。</w:t>
            </w:r>
          </w:p>
        </w:tc>
      </w:tr>
      <w:tr w14:paraId="6D44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0F4F61CE">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49661A3B">
            <w:pPr>
              <w:spacing w:line="400" w:lineRule="exact"/>
              <w:jc w:val="center"/>
              <w:rPr>
                <w:rFonts w:hint="eastAsia" w:ascii="宋体" w:hAnsi="宋体"/>
                <w:color w:val="auto"/>
                <w:kern w:val="0"/>
                <w:sz w:val="20"/>
                <w:szCs w:val="20"/>
                <w:highlight w:val="none"/>
              </w:rPr>
            </w:pPr>
          </w:p>
        </w:tc>
        <w:tc>
          <w:tcPr>
            <w:tcW w:w="2313" w:type="dxa"/>
            <w:noWrap w:val="0"/>
            <w:vAlign w:val="center"/>
          </w:tcPr>
          <w:p w14:paraId="22224053">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竞选文件格式</w:t>
            </w:r>
          </w:p>
        </w:tc>
        <w:tc>
          <w:tcPr>
            <w:tcW w:w="5559" w:type="dxa"/>
            <w:noWrap w:val="0"/>
            <w:vAlign w:val="center"/>
          </w:tcPr>
          <w:p w14:paraId="2004A53A">
            <w:pPr>
              <w:adjustRightInd w:val="0"/>
              <w:snapToGrid w:val="0"/>
              <w:spacing w:line="360" w:lineRule="auto"/>
              <w:ind w:left="105" w:leftChars="50" w:right="105" w:rightChars="50" w:firstLine="380" w:firstLineChars="181"/>
              <w:jc w:val="left"/>
              <w:rPr>
                <w:rFonts w:hint="eastAsia" w:ascii="宋体" w:hAnsi="宋体"/>
                <w:color w:val="auto"/>
                <w:kern w:val="0"/>
                <w:sz w:val="20"/>
                <w:szCs w:val="20"/>
                <w:highlight w:val="none"/>
              </w:rPr>
            </w:pPr>
            <w:r>
              <w:rPr>
                <w:rFonts w:hint="eastAsia" w:ascii="宋体" w:hAnsi="宋体" w:cs="宋体"/>
                <w:color w:val="auto"/>
                <w:kern w:val="0"/>
                <w:highlight w:val="none"/>
              </w:rPr>
              <w:t>符合第</w:t>
            </w:r>
            <w:r>
              <w:rPr>
                <w:rFonts w:hint="eastAsia" w:ascii="宋体" w:hAnsi="宋体" w:cs="宋体"/>
                <w:color w:val="auto"/>
                <w:kern w:val="0"/>
                <w:highlight w:val="none"/>
                <w:lang w:val="en-US" w:eastAsia="zh-CN"/>
              </w:rPr>
              <w:t>七</w:t>
            </w:r>
            <w:r>
              <w:rPr>
                <w:rFonts w:hint="eastAsia" w:ascii="宋体" w:hAnsi="宋体" w:cs="宋体"/>
                <w:color w:val="auto"/>
                <w:kern w:val="0"/>
                <w:highlight w:val="none"/>
              </w:rPr>
              <w:t>章“竞选文件格式”的要求。</w:t>
            </w:r>
          </w:p>
        </w:tc>
      </w:tr>
      <w:tr w14:paraId="3E39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23AC8C42">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0FB00CFF">
            <w:pPr>
              <w:spacing w:line="400" w:lineRule="exact"/>
              <w:jc w:val="center"/>
              <w:rPr>
                <w:rFonts w:hint="eastAsia" w:ascii="宋体" w:hAnsi="宋体"/>
                <w:color w:val="auto"/>
                <w:kern w:val="0"/>
                <w:sz w:val="20"/>
                <w:szCs w:val="20"/>
                <w:highlight w:val="none"/>
              </w:rPr>
            </w:pPr>
          </w:p>
        </w:tc>
        <w:tc>
          <w:tcPr>
            <w:tcW w:w="2313" w:type="dxa"/>
            <w:noWrap w:val="0"/>
            <w:vAlign w:val="center"/>
          </w:tcPr>
          <w:p w14:paraId="26CF7798">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报价唯一</w:t>
            </w:r>
          </w:p>
        </w:tc>
        <w:tc>
          <w:tcPr>
            <w:tcW w:w="5559" w:type="dxa"/>
            <w:noWrap w:val="0"/>
            <w:vAlign w:val="center"/>
          </w:tcPr>
          <w:p w14:paraId="4175CD99">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只能有一个有效报价。在比选文件没有规定的情况下，不得提交选择性报价。</w:t>
            </w:r>
          </w:p>
        </w:tc>
      </w:tr>
      <w:tr w14:paraId="09EB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54081180">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1850E158">
            <w:pPr>
              <w:spacing w:line="400" w:lineRule="exact"/>
              <w:jc w:val="center"/>
              <w:rPr>
                <w:rFonts w:hint="eastAsia" w:ascii="宋体" w:hAnsi="宋体"/>
                <w:color w:val="auto"/>
                <w:kern w:val="0"/>
                <w:sz w:val="20"/>
                <w:szCs w:val="20"/>
                <w:highlight w:val="none"/>
              </w:rPr>
            </w:pPr>
          </w:p>
        </w:tc>
        <w:tc>
          <w:tcPr>
            <w:tcW w:w="2313" w:type="dxa"/>
            <w:noWrap w:val="0"/>
            <w:vAlign w:val="center"/>
          </w:tcPr>
          <w:p w14:paraId="214A814F">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竞选文件的签署</w:t>
            </w:r>
          </w:p>
        </w:tc>
        <w:tc>
          <w:tcPr>
            <w:tcW w:w="5559" w:type="dxa"/>
            <w:noWrap w:val="0"/>
            <w:vAlign w:val="center"/>
          </w:tcPr>
          <w:p w14:paraId="40F7DF6C">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竞选文件上法定代表人或其委托代理人的签字（或盖章）齐全。</w:t>
            </w:r>
          </w:p>
        </w:tc>
      </w:tr>
      <w:tr w14:paraId="4A9D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3C77460D">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787F7BA5">
            <w:pPr>
              <w:spacing w:line="400" w:lineRule="exact"/>
              <w:jc w:val="center"/>
              <w:rPr>
                <w:rFonts w:hint="eastAsia" w:ascii="宋体" w:hAnsi="宋体"/>
                <w:color w:val="auto"/>
                <w:kern w:val="0"/>
                <w:sz w:val="20"/>
                <w:szCs w:val="20"/>
                <w:highlight w:val="none"/>
              </w:rPr>
            </w:pPr>
          </w:p>
        </w:tc>
        <w:tc>
          <w:tcPr>
            <w:tcW w:w="2313" w:type="dxa"/>
            <w:noWrap w:val="0"/>
            <w:vAlign w:val="center"/>
          </w:tcPr>
          <w:p w14:paraId="2C1C526D">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委托代理人</w:t>
            </w:r>
          </w:p>
        </w:tc>
        <w:tc>
          <w:tcPr>
            <w:tcW w:w="5559" w:type="dxa"/>
            <w:noWrap w:val="0"/>
            <w:vAlign w:val="center"/>
          </w:tcPr>
          <w:p w14:paraId="24328C55">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竞选人法定代表人的委托代理人有法定代表人签署的授权委托书。</w:t>
            </w:r>
          </w:p>
        </w:tc>
      </w:tr>
      <w:tr w14:paraId="6C173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restart"/>
            <w:noWrap w:val="0"/>
            <w:vAlign w:val="center"/>
          </w:tcPr>
          <w:p w14:paraId="389C6418">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3</w:t>
            </w:r>
          </w:p>
        </w:tc>
        <w:tc>
          <w:tcPr>
            <w:tcW w:w="1212" w:type="dxa"/>
            <w:vMerge w:val="restart"/>
            <w:noWrap w:val="0"/>
            <w:vAlign w:val="center"/>
          </w:tcPr>
          <w:p w14:paraId="59F51514">
            <w:pPr>
              <w:spacing w:line="400" w:lineRule="exact"/>
              <w:rPr>
                <w:rFonts w:hint="eastAsia" w:ascii="宋体" w:hAnsi="宋体"/>
                <w:color w:val="auto"/>
                <w:kern w:val="0"/>
                <w:highlight w:val="none"/>
              </w:rPr>
            </w:pPr>
          </w:p>
          <w:p w14:paraId="141FE060">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响应性评审标准</w:t>
            </w:r>
          </w:p>
        </w:tc>
        <w:tc>
          <w:tcPr>
            <w:tcW w:w="2313" w:type="dxa"/>
            <w:noWrap w:val="0"/>
            <w:vAlign w:val="center"/>
          </w:tcPr>
          <w:p w14:paraId="3615C525">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比选报价</w:t>
            </w:r>
          </w:p>
        </w:tc>
        <w:tc>
          <w:tcPr>
            <w:tcW w:w="5559" w:type="dxa"/>
            <w:noWrap w:val="0"/>
            <w:vAlign w:val="center"/>
          </w:tcPr>
          <w:p w14:paraId="7B721A2E">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2853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4133778B">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76C2CF25">
            <w:pPr>
              <w:spacing w:line="400" w:lineRule="exact"/>
              <w:jc w:val="center"/>
              <w:rPr>
                <w:rFonts w:hint="eastAsia" w:ascii="宋体" w:hAnsi="宋体"/>
                <w:color w:val="auto"/>
                <w:kern w:val="0"/>
                <w:sz w:val="20"/>
                <w:szCs w:val="20"/>
                <w:highlight w:val="none"/>
              </w:rPr>
            </w:pPr>
          </w:p>
        </w:tc>
        <w:tc>
          <w:tcPr>
            <w:tcW w:w="2313" w:type="dxa"/>
            <w:noWrap w:val="0"/>
            <w:vAlign w:val="center"/>
          </w:tcPr>
          <w:p w14:paraId="642CD39A">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比选内容</w:t>
            </w:r>
          </w:p>
        </w:tc>
        <w:tc>
          <w:tcPr>
            <w:tcW w:w="5559" w:type="dxa"/>
            <w:noWrap w:val="0"/>
            <w:vAlign w:val="center"/>
          </w:tcPr>
          <w:p w14:paraId="5B51F1CA">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6410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56071A16">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2DEAD514">
            <w:pPr>
              <w:spacing w:line="400" w:lineRule="exact"/>
              <w:jc w:val="center"/>
              <w:rPr>
                <w:rFonts w:hint="eastAsia" w:ascii="宋体" w:hAnsi="宋体"/>
                <w:color w:val="auto"/>
                <w:kern w:val="0"/>
                <w:sz w:val="20"/>
                <w:szCs w:val="20"/>
                <w:highlight w:val="none"/>
              </w:rPr>
            </w:pPr>
          </w:p>
        </w:tc>
        <w:tc>
          <w:tcPr>
            <w:tcW w:w="2313" w:type="dxa"/>
            <w:noWrap w:val="0"/>
            <w:vAlign w:val="center"/>
          </w:tcPr>
          <w:p w14:paraId="7AB93A17">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工期</w:t>
            </w:r>
          </w:p>
        </w:tc>
        <w:tc>
          <w:tcPr>
            <w:tcW w:w="5559" w:type="dxa"/>
            <w:noWrap w:val="0"/>
            <w:vAlign w:val="center"/>
          </w:tcPr>
          <w:p w14:paraId="470017E3">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70CB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2201CB8D">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78B9EEC5">
            <w:pPr>
              <w:spacing w:line="400" w:lineRule="exact"/>
              <w:jc w:val="center"/>
              <w:rPr>
                <w:rFonts w:hint="eastAsia" w:ascii="宋体" w:hAnsi="宋体"/>
                <w:color w:val="auto"/>
                <w:kern w:val="0"/>
                <w:sz w:val="20"/>
                <w:szCs w:val="20"/>
                <w:highlight w:val="none"/>
              </w:rPr>
            </w:pPr>
          </w:p>
        </w:tc>
        <w:tc>
          <w:tcPr>
            <w:tcW w:w="2313" w:type="dxa"/>
            <w:noWrap w:val="0"/>
            <w:vAlign w:val="center"/>
          </w:tcPr>
          <w:p w14:paraId="118C124C">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质量要求</w:t>
            </w:r>
          </w:p>
        </w:tc>
        <w:tc>
          <w:tcPr>
            <w:tcW w:w="5559" w:type="dxa"/>
            <w:noWrap w:val="0"/>
            <w:vAlign w:val="center"/>
          </w:tcPr>
          <w:p w14:paraId="6DA900E8">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0EC4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645D4A52">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09251AA1">
            <w:pPr>
              <w:spacing w:line="400" w:lineRule="exact"/>
              <w:jc w:val="center"/>
              <w:rPr>
                <w:rFonts w:hint="eastAsia" w:ascii="宋体" w:hAnsi="宋体"/>
                <w:color w:val="auto"/>
                <w:kern w:val="0"/>
                <w:sz w:val="20"/>
                <w:szCs w:val="20"/>
                <w:highlight w:val="none"/>
              </w:rPr>
            </w:pPr>
          </w:p>
        </w:tc>
        <w:tc>
          <w:tcPr>
            <w:tcW w:w="2313" w:type="dxa"/>
            <w:noWrap w:val="0"/>
            <w:vAlign w:val="center"/>
          </w:tcPr>
          <w:p w14:paraId="46B4C8C9">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比选有效期</w:t>
            </w:r>
          </w:p>
        </w:tc>
        <w:tc>
          <w:tcPr>
            <w:tcW w:w="5559" w:type="dxa"/>
            <w:noWrap w:val="0"/>
            <w:vAlign w:val="center"/>
          </w:tcPr>
          <w:p w14:paraId="27FE82A5">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4012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021DE767">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0932C121">
            <w:pPr>
              <w:spacing w:line="400" w:lineRule="exact"/>
              <w:jc w:val="center"/>
              <w:rPr>
                <w:rFonts w:hint="eastAsia" w:ascii="宋体" w:hAnsi="宋体"/>
                <w:color w:val="auto"/>
                <w:kern w:val="0"/>
                <w:sz w:val="20"/>
                <w:szCs w:val="20"/>
                <w:highlight w:val="none"/>
              </w:rPr>
            </w:pPr>
          </w:p>
        </w:tc>
        <w:tc>
          <w:tcPr>
            <w:tcW w:w="2313" w:type="dxa"/>
            <w:noWrap w:val="0"/>
            <w:vAlign w:val="center"/>
          </w:tcPr>
          <w:p w14:paraId="4D6E4AC0">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比选保证金</w:t>
            </w:r>
          </w:p>
        </w:tc>
        <w:tc>
          <w:tcPr>
            <w:tcW w:w="5559" w:type="dxa"/>
            <w:noWrap w:val="0"/>
            <w:vAlign w:val="center"/>
          </w:tcPr>
          <w:p w14:paraId="2CCD8F4E">
            <w:pPr>
              <w:tabs>
                <w:tab w:val="left" w:pos="611"/>
                <w:tab w:val="left" w:pos="669"/>
              </w:tabs>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5D9D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2170156A">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1E23CE09">
            <w:pPr>
              <w:spacing w:line="400" w:lineRule="exact"/>
              <w:jc w:val="center"/>
              <w:rPr>
                <w:rFonts w:hint="eastAsia" w:ascii="宋体" w:hAnsi="宋体"/>
                <w:color w:val="auto"/>
                <w:kern w:val="0"/>
                <w:sz w:val="20"/>
                <w:szCs w:val="20"/>
                <w:highlight w:val="none"/>
              </w:rPr>
            </w:pPr>
          </w:p>
        </w:tc>
        <w:tc>
          <w:tcPr>
            <w:tcW w:w="2313" w:type="dxa"/>
            <w:noWrap w:val="0"/>
            <w:vAlign w:val="center"/>
          </w:tcPr>
          <w:p w14:paraId="1F709034">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权利义务</w:t>
            </w:r>
          </w:p>
        </w:tc>
        <w:tc>
          <w:tcPr>
            <w:tcW w:w="5559" w:type="dxa"/>
            <w:noWrap w:val="0"/>
            <w:vAlign w:val="center"/>
          </w:tcPr>
          <w:p w14:paraId="77D85708">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符合第四章“合同条款及格式”规定，竞选文件不应附有比选人不能接受的条件。</w:t>
            </w:r>
          </w:p>
        </w:tc>
      </w:tr>
      <w:tr w14:paraId="2E3E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6D33629B">
            <w:pPr>
              <w:adjustRightInd w:val="0"/>
              <w:snapToGrid w:val="0"/>
              <w:spacing w:line="360" w:lineRule="auto"/>
              <w:ind w:right="105" w:rightChars="50"/>
              <w:jc w:val="center"/>
              <w:rPr>
                <w:rFonts w:hint="eastAsia" w:ascii="宋体" w:hAnsi="宋体" w:eastAsia="宋体" w:cs="宋体"/>
                <w:color w:val="auto"/>
                <w:kern w:val="0"/>
                <w:highlight w:val="none"/>
                <w:lang w:eastAsia="zh-CN"/>
              </w:rPr>
            </w:pPr>
            <w:r>
              <w:rPr>
                <w:rFonts w:hint="eastAsia" w:ascii="宋体" w:hAnsi="宋体" w:cs="宋体"/>
                <w:color w:val="auto"/>
                <w:kern w:val="0"/>
                <w:highlight w:val="none"/>
                <w:lang w:val="en-US" w:eastAsia="zh-CN"/>
              </w:rPr>
              <w:t>4</w:t>
            </w:r>
          </w:p>
        </w:tc>
        <w:tc>
          <w:tcPr>
            <w:tcW w:w="1212" w:type="dxa"/>
            <w:noWrap w:val="0"/>
            <w:vAlign w:val="center"/>
          </w:tcPr>
          <w:p w14:paraId="0F371A07">
            <w:pPr>
              <w:adjustRightInd w:val="0"/>
              <w:snapToGrid w:val="0"/>
              <w:spacing w:line="360" w:lineRule="auto"/>
              <w:ind w:right="105" w:rightChars="50"/>
              <w:jc w:val="center"/>
              <w:rPr>
                <w:rFonts w:hint="eastAsia" w:ascii="宋体" w:hAnsi="宋体" w:cs="宋体"/>
                <w:color w:val="auto"/>
                <w:kern w:val="0"/>
                <w:sz w:val="21"/>
                <w:szCs w:val="21"/>
                <w:highlight w:val="none"/>
              </w:rPr>
            </w:pPr>
            <w:r>
              <w:rPr>
                <w:rFonts w:hint="eastAsia" w:ascii="宋体" w:hAnsi="宋体" w:eastAsia="宋体" w:cs="宋体"/>
                <w:color w:val="auto"/>
                <w:sz w:val="21"/>
                <w:szCs w:val="21"/>
                <w:highlight w:val="none"/>
              </w:rPr>
              <w:t>报价顺序</w:t>
            </w:r>
          </w:p>
        </w:tc>
        <w:tc>
          <w:tcPr>
            <w:tcW w:w="7872" w:type="dxa"/>
            <w:gridSpan w:val="2"/>
            <w:noWrap w:val="0"/>
            <w:vAlign w:val="center"/>
          </w:tcPr>
          <w:p w14:paraId="2089B617">
            <w:pPr>
              <w:adjustRightInd w:val="0"/>
              <w:snapToGrid w:val="0"/>
              <w:spacing w:line="360" w:lineRule="auto"/>
              <w:ind w:right="105" w:rightChars="50" w:firstLine="420" w:firstLineChars="200"/>
              <w:rPr>
                <w:rFonts w:hint="eastAsia" w:ascii="宋体" w:hAnsi="宋体" w:eastAsia="宋体"/>
                <w:color w:val="auto"/>
                <w:kern w:val="0"/>
                <w:sz w:val="21"/>
                <w:szCs w:val="21"/>
                <w:highlight w:val="none"/>
                <w:lang w:eastAsia="zh-CN"/>
              </w:rPr>
            </w:pPr>
            <w:r>
              <w:rPr>
                <w:rFonts w:hint="eastAsia" w:ascii="宋体" w:hAnsi="宋体" w:eastAsia="宋体" w:cs="宋体"/>
                <w:color w:val="auto"/>
                <w:sz w:val="21"/>
                <w:szCs w:val="21"/>
                <w:highlight w:val="none"/>
              </w:rPr>
              <w:t>对报价不高于最高限价的所有</w:t>
            </w:r>
            <w:r>
              <w:rPr>
                <w:rFonts w:hint="eastAsia" w:ascii="宋体" w:hAnsi="宋体" w:eastAsia="宋体" w:cs="宋体"/>
                <w:color w:val="auto"/>
                <w:spacing w:val="4"/>
                <w:sz w:val="21"/>
                <w:szCs w:val="21"/>
                <w:highlight w:val="none"/>
              </w:rPr>
              <w:t>比选申请人</w:t>
            </w:r>
            <w:r>
              <w:rPr>
                <w:rFonts w:hint="eastAsia" w:ascii="宋体" w:hAnsi="宋体" w:eastAsia="宋体" w:cs="宋体"/>
                <w:color w:val="auto"/>
                <w:sz w:val="21"/>
                <w:szCs w:val="21"/>
                <w:highlight w:val="none"/>
              </w:rPr>
              <w:t>的比选申请文件，按照报价由低到高的顺序排列</w:t>
            </w:r>
            <w:r>
              <w:rPr>
                <w:rFonts w:hint="eastAsia" w:ascii="宋体" w:hAnsi="宋体" w:eastAsia="宋体" w:cs="宋体"/>
                <w:color w:val="auto"/>
                <w:sz w:val="21"/>
                <w:szCs w:val="21"/>
                <w:highlight w:val="none"/>
                <w:lang w:eastAsia="zh-CN"/>
              </w:rPr>
              <w:t>。</w:t>
            </w:r>
          </w:p>
        </w:tc>
      </w:tr>
      <w:tr w14:paraId="431C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5E46EE9D">
            <w:pPr>
              <w:autoSpaceDE w:val="0"/>
              <w:autoSpaceDN w:val="0"/>
              <w:adjustRightInd w:val="0"/>
              <w:spacing w:line="360" w:lineRule="auto"/>
              <w:ind w:left="112" w:right="-20"/>
              <w:jc w:val="center"/>
              <w:rPr>
                <w:rFonts w:hint="eastAsia" w:ascii="宋体" w:hAnsi="宋体" w:eastAsia="宋体"/>
                <w:color w:val="auto"/>
                <w:kern w:val="0"/>
                <w:sz w:val="20"/>
                <w:szCs w:val="20"/>
                <w:highlight w:val="none"/>
                <w:lang w:eastAsia="zh-CN"/>
              </w:rPr>
            </w:pPr>
            <w:r>
              <w:rPr>
                <w:rFonts w:hint="eastAsia" w:ascii="宋体" w:hAnsi="宋体" w:cs="宋体"/>
                <w:color w:val="auto"/>
                <w:kern w:val="0"/>
                <w:sz w:val="22"/>
                <w:szCs w:val="22"/>
                <w:highlight w:val="none"/>
                <w:lang w:val="en-US" w:eastAsia="zh-CN"/>
              </w:rPr>
              <w:t>5</w:t>
            </w:r>
          </w:p>
        </w:tc>
        <w:tc>
          <w:tcPr>
            <w:tcW w:w="1212" w:type="dxa"/>
            <w:noWrap w:val="0"/>
            <w:vAlign w:val="center"/>
          </w:tcPr>
          <w:p w14:paraId="3AC84FEF">
            <w:pPr>
              <w:autoSpaceDE w:val="0"/>
              <w:autoSpaceDN w:val="0"/>
              <w:adjustRightInd w:val="0"/>
              <w:spacing w:line="360" w:lineRule="auto"/>
              <w:ind w:right="-20"/>
              <w:jc w:val="center"/>
              <w:rPr>
                <w:rFonts w:hint="eastAsia" w:ascii="宋体" w:hAnsi="宋体"/>
                <w:color w:val="auto"/>
                <w:kern w:val="0"/>
                <w:sz w:val="20"/>
                <w:szCs w:val="20"/>
                <w:highlight w:val="none"/>
              </w:rPr>
            </w:pPr>
            <w:r>
              <w:rPr>
                <w:rFonts w:hint="eastAsia" w:ascii="宋体" w:hAnsi="宋体" w:cs="宋体"/>
                <w:color w:val="auto"/>
                <w:highlight w:val="none"/>
              </w:rPr>
              <w:t>比选程序</w:t>
            </w:r>
          </w:p>
        </w:tc>
        <w:tc>
          <w:tcPr>
            <w:tcW w:w="7872" w:type="dxa"/>
            <w:gridSpan w:val="2"/>
            <w:noWrap w:val="0"/>
            <w:vAlign w:val="center"/>
          </w:tcPr>
          <w:p w14:paraId="413074FA">
            <w:pPr>
              <w:autoSpaceDE w:val="0"/>
              <w:autoSpaceDN w:val="0"/>
              <w:adjustRightInd w:val="0"/>
              <w:spacing w:line="360" w:lineRule="auto"/>
              <w:ind w:right="105" w:rightChars="50" w:firstLine="210" w:firstLineChars="100"/>
              <w:rPr>
                <w:rFonts w:hint="eastAsia"/>
                <w:color w:val="auto"/>
                <w:highlight w:val="none"/>
              </w:rPr>
            </w:pPr>
            <w:r>
              <w:rPr>
                <w:rFonts w:hint="eastAsia"/>
                <w:color w:val="auto"/>
                <w:highlight w:val="none"/>
              </w:rPr>
              <w:t>1</w:t>
            </w:r>
            <w:r>
              <w:rPr>
                <w:rFonts w:hint="eastAsia"/>
                <w:color w:val="auto"/>
                <w:highlight w:val="none"/>
                <w:lang w:eastAsia="zh-CN"/>
              </w:rPr>
              <w:t>、</w:t>
            </w:r>
            <w:r>
              <w:rPr>
                <w:rFonts w:hint="eastAsia"/>
                <w:color w:val="auto"/>
                <w:highlight w:val="none"/>
              </w:rPr>
              <w:t>对</w:t>
            </w:r>
            <w:r>
              <w:rPr>
                <w:rFonts w:hint="eastAsia" w:ascii="宋体" w:hAnsi="宋体"/>
                <w:color w:val="auto"/>
                <w:kern w:val="0"/>
                <w:szCs w:val="21"/>
                <w:highlight w:val="none"/>
              </w:rPr>
              <w:t>总报价不高于最高限价的</w:t>
            </w:r>
            <w:r>
              <w:rPr>
                <w:rFonts w:hint="eastAsia"/>
                <w:color w:val="auto"/>
                <w:highlight w:val="none"/>
              </w:rPr>
              <w:t>所有比选申请人的比选申请文件，</w:t>
            </w:r>
            <w:r>
              <w:rPr>
                <w:rFonts w:hint="eastAsia" w:ascii="宋体" w:hAnsi="宋体" w:eastAsia="宋体" w:cs="宋体"/>
                <w:color w:val="auto"/>
                <w:highlight w:val="none"/>
              </w:rPr>
              <w:t>不低于最高限价85%的所有竞选人的竞选文件按本章1-3条进行初步评审</w:t>
            </w:r>
            <w:r>
              <w:rPr>
                <w:rFonts w:hint="eastAsia" w:ascii="宋体" w:hAnsi="宋体" w:eastAsia="宋体" w:cs="宋体"/>
                <w:color w:val="auto"/>
                <w:highlight w:val="none"/>
                <w:lang w:eastAsia="zh-CN"/>
              </w:rPr>
              <w:t>，</w:t>
            </w:r>
            <w:r>
              <w:rPr>
                <w:rFonts w:hint="eastAsia"/>
                <w:color w:val="auto"/>
                <w:highlight w:val="none"/>
              </w:rPr>
              <w:t>按照报价由低到高的顺序排序。</w:t>
            </w:r>
          </w:p>
          <w:p w14:paraId="586447BB">
            <w:pPr>
              <w:spacing w:after="24" w:afterLines="10" w:line="400" w:lineRule="exact"/>
              <w:ind w:firstLine="420" w:firstLineChars="200"/>
              <w:jc w:val="left"/>
              <w:rPr>
                <w:color w:val="auto"/>
                <w:highlight w:val="none"/>
              </w:rPr>
            </w:pPr>
            <w:r>
              <w:rPr>
                <w:rFonts w:hint="eastAsia"/>
                <w:color w:val="auto"/>
                <w:highlight w:val="none"/>
              </w:rPr>
              <w:t>2</w:t>
            </w:r>
            <w:r>
              <w:rPr>
                <w:rFonts w:hint="eastAsia"/>
                <w:color w:val="auto"/>
                <w:highlight w:val="none"/>
                <w:lang w:eastAsia="zh-CN"/>
              </w:rPr>
              <w:t>、</w:t>
            </w:r>
            <w:r>
              <w:rPr>
                <w:rFonts w:hint="eastAsia"/>
                <w:color w:val="auto"/>
                <w:highlight w:val="none"/>
              </w:rPr>
              <w:t>取报价排序前7名（若实际比选申请人数量小于7家的，则全部纳入）进行符合性审查。符合性审查内容：资格评审、形式评审、响应性评审。符合性审查合格的比选申请人中，报价最低的成为第一中标候选人，报价次低的成为第二中标候选人，依次类推。</w:t>
            </w:r>
          </w:p>
          <w:p w14:paraId="0F33E9BE">
            <w:pPr>
              <w:spacing w:after="24" w:afterLines="10" w:line="400" w:lineRule="exact"/>
              <w:ind w:firstLine="420" w:firstLineChars="200"/>
              <w:jc w:val="left"/>
              <w:rPr>
                <w:rFonts w:hint="eastAsia"/>
                <w:color w:val="auto"/>
                <w:highlight w:val="none"/>
              </w:rPr>
            </w:pPr>
            <w:r>
              <w:rPr>
                <w:rFonts w:hint="eastAsia"/>
                <w:color w:val="auto"/>
                <w:highlight w:val="none"/>
              </w:rPr>
              <w:t>3</w:t>
            </w:r>
            <w:r>
              <w:rPr>
                <w:rFonts w:hint="eastAsia"/>
                <w:color w:val="auto"/>
                <w:highlight w:val="none"/>
                <w:lang w:eastAsia="zh-CN"/>
              </w:rPr>
              <w:t>、</w:t>
            </w:r>
            <w:r>
              <w:rPr>
                <w:rFonts w:hint="eastAsia"/>
                <w:color w:val="auto"/>
                <w:highlight w:val="none"/>
              </w:rPr>
              <w:t>若上述程序未能评出三名中标候选人，则评标委员会对剩余比选申请文件继续按上述第2条进行评审，直至评出三名中标候选人，或者评审完所有比选申请文件。</w:t>
            </w:r>
          </w:p>
          <w:p w14:paraId="11EB8833">
            <w:pPr>
              <w:autoSpaceDE w:val="0"/>
              <w:autoSpaceDN w:val="0"/>
              <w:adjustRightInd w:val="0"/>
              <w:spacing w:line="360" w:lineRule="auto"/>
              <w:ind w:right="105" w:rightChars="50" w:firstLine="420" w:firstLineChars="200"/>
              <w:rPr>
                <w:rFonts w:hint="eastAsia"/>
                <w:color w:val="auto"/>
                <w:highlight w:val="none"/>
              </w:rPr>
            </w:pPr>
            <w:r>
              <w:rPr>
                <w:rFonts w:hint="eastAsia"/>
                <w:color w:val="auto"/>
                <w:highlight w:val="none"/>
              </w:rPr>
              <w:t>4、如经过对所有竞选人的竞选文件进行评审，符合比选文件所有要求的有效竞选人仅有1家的，其即为中选人。</w:t>
            </w:r>
          </w:p>
          <w:p w14:paraId="4CC519B2">
            <w:pPr>
              <w:adjustRightInd w:val="0"/>
              <w:ind w:right="105" w:rightChars="50" w:firstLine="420" w:firstLineChars="200"/>
              <w:rPr>
                <w:rFonts w:hint="eastAsia"/>
                <w:color w:val="auto"/>
                <w:highlight w:val="none"/>
              </w:rPr>
            </w:pPr>
            <w:r>
              <w:rPr>
                <w:rFonts w:hint="eastAsia"/>
                <w:color w:val="auto"/>
                <w:highlight w:val="none"/>
              </w:rPr>
              <w:t>注：（1）如在竞选截止时间止， 仅有1家单位递交竞选文件且其竞选文件符合比选文件所有要求，其即为中选人；</w:t>
            </w:r>
          </w:p>
          <w:p w14:paraId="2A1BD2C0">
            <w:pPr>
              <w:adjustRightInd w:val="0"/>
              <w:ind w:right="105" w:rightChars="50" w:firstLine="420" w:firstLineChars="200"/>
              <w:rPr>
                <w:rFonts w:hint="eastAsia" w:ascii="宋体" w:hAnsi="宋体"/>
                <w:color w:val="auto"/>
                <w:kern w:val="0"/>
                <w:sz w:val="20"/>
                <w:szCs w:val="20"/>
                <w:highlight w:val="none"/>
              </w:rPr>
            </w:pPr>
            <w:r>
              <w:rPr>
                <w:rFonts w:hint="eastAsia"/>
                <w:color w:val="auto"/>
                <w:highlight w:val="none"/>
              </w:rPr>
              <w:t>（2）如出现竞选人比选总报价相同时，由比选小组抽签确定排序。</w:t>
            </w:r>
          </w:p>
        </w:tc>
      </w:tr>
      <w:tr w14:paraId="436BA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4876DF64">
            <w:pPr>
              <w:autoSpaceDE w:val="0"/>
              <w:autoSpaceDN w:val="0"/>
              <w:adjustRightInd w:val="0"/>
              <w:spacing w:line="360" w:lineRule="auto"/>
              <w:ind w:left="112" w:right="-20"/>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6</w:t>
            </w:r>
          </w:p>
        </w:tc>
        <w:tc>
          <w:tcPr>
            <w:tcW w:w="1212" w:type="dxa"/>
            <w:noWrap w:val="0"/>
            <w:vAlign w:val="center"/>
          </w:tcPr>
          <w:p w14:paraId="0851E863">
            <w:pPr>
              <w:autoSpaceDE w:val="0"/>
              <w:autoSpaceDN w:val="0"/>
              <w:adjustRightInd w:val="0"/>
              <w:spacing w:line="360" w:lineRule="auto"/>
              <w:ind w:right="-20"/>
              <w:jc w:val="center"/>
              <w:rPr>
                <w:rFonts w:ascii="宋体" w:hAnsi="宋体" w:cs="宋体"/>
                <w:color w:val="auto"/>
                <w:highlight w:val="none"/>
              </w:rPr>
            </w:pPr>
            <w:r>
              <w:rPr>
                <w:rFonts w:hint="eastAsia" w:ascii="宋体" w:hAnsi="宋体" w:cs="宋体"/>
                <w:color w:val="auto"/>
                <w:highlight w:val="none"/>
              </w:rPr>
              <w:t>竞选报价算术错误</w:t>
            </w:r>
          </w:p>
          <w:p w14:paraId="27D8553A">
            <w:pPr>
              <w:autoSpaceDE w:val="0"/>
              <w:autoSpaceDN w:val="0"/>
              <w:adjustRightInd w:val="0"/>
              <w:spacing w:line="360" w:lineRule="auto"/>
              <w:ind w:right="-20"/>
              <w:jc w:val="center"/>
              <w:rPr>
                <w:rFonts w:hint="eastAsia" w:ascii="宋体" w:hAnsi="宋体" w:cs="宋体"/>
                <w:color w:val="auto"/>
                <w:highlight w:val="none"/>
              </w:rPr>
            </w:pPr>
            <w:r>
              <w:rPr>
                <w:rFonts w:hint="eastAsia" w:ascii="宋体" w:hAnsi="宋体" w:cs="宋体"/>
                <w:color w:val="auto"/>
                <w:highlight w:val="none"/>
              </w:rPr>
              <w:t>修正</w:t>
            </w:r>
          </w:p>
        </w:tc>
        <w:tc>
          <w:tcPr>
            <w:tcW w:w="7872" w:type="dxa"/>
            <w:gridSpan w:val="2"/>
            <w:noWrap w:val="0"/>
            <w:vAlign w:val="center"/>
          </w:tcPr>
          <w:p w14:paraId="25794707">
            <w:pPr>
              <w:spacing w:line="400" w:lineRule="exact"/>
              <w:rPr>
                <w:rFonts w:ascii="宋体" w:hAnsi="宋体"/>
                <w:color w:val="auto"/>
                <w:szCs w:val="21"/>
                <w:highlight w:val="none"/>
              </w:rPr>
            </w:pPr>
            <w:r>
              <w:rPr>
                <w:rFonts w:hint="eastAsia" w:ascii="宋体" w:hAnsi="宋体"/>
                <w:color w:val="auto"/>
                <w:highlight w:val="none"/>
              </w:rPr>
              <w:t xml:space="preserve">    竞选报价有算术错误的，评标委员会按以下原则对竞选报价进行修正，修正的价格经竞选人书面确认后具有约束力，修正原则如下：</w:t>
            </w:r>
          </w:p>
          <w:p w14:paraId="2786DF73">
            <w:pPr>
              <w:spacing w:line="400" w:lineRule="exact"/>
              <w:ind w:firstLine="287" w:firstLineChars="137"/>
              <w:rPr>
                <w:rFonts w:hint="eastAsia" w:ascii="宋体" w:hAnsi="宋体"/>
                <w:color w:val="auto"/>
                <w:highlight w:val="none"/>
              </w:rPr>
            </w:pPr>
            <w:r>
              <w:rPr>
                <w:rFonts w:hint="eastAsia" w:ascii="宋体" w:hAnsi="宋体"/>
                <w:color w:val="auto"/>
                <w:highlight w:val="none"/>
              </w:rPr>
              <w:t>（1）竞选文件中的大写金额与小写金额不一致的，以大写金额为准；</w:t>
            </w:r>
          </w:p>
          <w:p w14:paraId="33C24E35">
            <w:pPr>
              <w:spacing w:line="400" w:lineRule="exact"/>
              <w:ind w:firstLine="287" w:firstLineChars="137"/>
              <w:rPr>
                <w:rFonts w:hint="eastAsia" w:ascii="宋体" w:hAnsi="宋体"/>
                <w:color w:val="auto"/>
                <w:highlight w:val="none"/>
              </w:rPr>
            </w:pPr>
            <w:r>
              <w:rPr>
                <w:rFonts w:hint="eastAsia" w:ascii="宋体" w:hAnsi="宋体"/>
                <w:color w:val="auto"/>
                <w:highlight w:val="none"/>
              </w:rPr>
              <w:t>（2）竞选函中的总报价与“竞选报价汇总表”总报价不一致的，由评标委员会作否决投标处理。</w:t>
            </w:r>
          </w:p>
        </w:tc>
      </w:tr>
      <w:tr w14:paraId="2DBA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4BE0B39B">
            <w:pPr>
              <w:adjustRightInd w:val="0"/>
              <w:spacing w:line="360" w:lineRule="auto"/>
              <w:ind w:right="105" w:rightChars="50"/>
              <w:jc w:val="center"/>
              <w:rPr>
                <w:rFonts w:hint="eastAsia" w:eastAsia="宋体"/>
                <w:color w:val="auto"/>
                <w:highlight w:val="none"/>
                <w:lang w:eastAsia="zh-CN"/>
              </w:rPr>
            </w:pPr>
            <w:r>
              <w:rPr>
                <w:rFonts w:hint="eastAsia"/>
                <w:color w:val="auto"/>
                <w:highlight w:val="none"/>
                <w:lang w:val="en-US" w:eastAsia="zh-CN"/>
              </w:rPr>
              <w:t xml:space="preserve"> 7</w:t>
            </w:r>
          </w:p>
        </w:tc>
        <w:tc>
          <w:tcPr>
            <w:tcW w:w="1212" w:type="dxa"/>
            <w:noWrap w:val="0"/>
            <w:vAlign w:val="center"/>
          </w:tcPr>
          <w:p w14:paraId="11635552">
            <w:pPr>
              <w:adjustRightInd w:val="0"/>
              <w:spacing w:line="360" w:lineRule="auto"/>
              <w:ind w:right="105" w:rightChars="50"/>
              <w:jc w:val="center"/>
              <w:rPr>
                <w:rFonts w:hint="eastAsia"/>
                <w:color w:val="auto"/>
                <w:highlight w:val="none"/>
              </w:rPr>
            </w:pPr>
            <w:r>
              <w:rPr>
                <w:rFonts w:hint="eastAsia"/>
                <w:color w:val="auto"/>
                <w:highlight w:val="none"/>
              </w:rPr>
              <w:t>比选结果</w:t>
            </w:r>
          </w:p>
        </w:tc>
        <w:tc>
          <w:tcPr>
            <w:tcW w:w="7872" w:type="dxa"/>
            <w:gridSpan w:val="2"/>
            <w:noWrap w:val="0"/>
            <w:vAlign w:val="center"/>
          </w:tcPr>
          <w:p w14:paraId="694076EF">
            <w:pPr>
              <w:adjustRightInd w:val="0"/>
              <w:spacing w:line="360" w:lineRule="auto"/>
              <w:ind w:left="105" w:leftChars="50" w:right="105" w:rightChars="50" w:firstLine="413" w:firstLineChars="197"/>
              <w:jc w:val="left"/>
              <w:rPr>
                <w:rFonts w:hint="eastAsia"/>
                <w:color w:val="auto"/>
                <w:highlight w:val="none"/>
              </w:rPr>
            </w:pPr>
            <w:r>
              <w:rPr>
                <w:rFonts w:hint="eastAsia"/>
                <w:color w:val="auto"/>
                <w:highlight w:val="none"/>
              </w:rPr>
              <w:t>比选小组按本办法推荐中选候选人，并应向比选人提交比选报告。</w:t>
            </w:r>
          </w:p>
        </w:tc>
      </w:tr>
    </w:tbl>
    <w:p w14:paraId="12DF6251">
      <w:pPr>
        <w:autoSpaceDE w:val="0"/>
        <w:autoSpaceDN w:val="0"/>
        <w:adjustRightInd w:val="0"/>
        <w:snapToGrid w:val="0"/>
        <w:spacing w:line="360" w:lineRule="auto"/>
        <w:rPr>
          <w:rFonts w:ascii="宋体" w:hAnsi="宋体"/>
          <w:color w:val="auto"/>
          <w:kern w:val="0"/>
          <w:sz w:val="20"/>
          <w:szCs w:val="20"/>
          <w:highlight w:val="none"/>
        </w:rPr>
      </w:pPr>
    </w:p>
    <w:p w14:paraId="3EDF0166">
      <w:pPr>
        <w:pStyle w:val="2"/>
        <w:rPr>
          <w:color w:val="auto"/>
          <w:highlight w:val="none"/>
        </w:rPr>
      </w:pPr>
    </w:p>
    <w:p w14:paraId="37C225C5">
      <w:pPr>
        <w:rPr>
          <w:color w:val="auto"/>
          <w:highlight w:val="none"/>
        </w:rPr>
      </w:pPr>
    </w:p>
    <w:p w14:paraId="048E0C7C">
      <w:pPr>
        <w:pStyle w:val="3"/>
        <w:rPr>
          <w:rFonts w:hint="eastAsia"/>
          <w:color w:val="auto"/>
          <w:highlight w:val="none"/>
        </w:rPr>
      </w:pPr>
      <w:bookmarkStart w:id="23" w:name="_Toc224103484"/>
      <w:bookmarkStart w:id="24" w:name="_Toc443576785"/>
    </w:p>
    <w:p w14:paraId="3BA2AFFE">
      <w:pPr>
        <w:pStyle w:val="4"/>
        <w:keepNext w:val="0"/>
        <w:keepLines w:val="0"/>
        <w:pageBreakBefore/>
        <w:widowControl w:val="0"/>
        <w:numPr>
          <w:ilvl w:val="0"/>
          <w:numId w:val="0"/>
        </w:numPr>
        <w:kinsoku/>
        <w:wordWrap/>
        <w:overflowPunct/>
        <w:topLinePunct w:val="0"/>
        <w:autoSpaceDE w:val="0"/>
        <w:autoSpaceDN w:val="0"/>
        <w:bidi w:val="0"/>
        <w:adjustRightInd w:val="0"/>
        <w:snapToGrid w:val="0"/>
        <w:ind w:firstLine="3614" w:firstLineChars="1000"/>
        <w:jc w:val="left"/>
        <w:textAlignment w:val="auto"/>
        <w:rPr>
          <w:rFonts w:hint="eastAsia" w:ascii="Times New Roman" w:hAnsi="Times New Roman" w:cs="Times New Roman"/>
          <w:color w:val="auto"/>
          <w:sz w:val="36"/>
          <w:szCs w:val="36"/>
          <w:highlight w:val="none"/>
          <w:lang w:val="en-US" w:eastAsia="zh-CN"/>
        </w:rPr>
      </w:pPr>
      <w:bookmarkStart w:id="25" w:name="_Toc19955"/>
      <w:r>
        <w:rPr>
          <w:rFonts w:hint="eastAsia" w:ascii="Times New Roman" w:hAnsi="Times New Roman" w:cs="Times New Roman"/>
          <w:color w:val="auto"/>
          <w:sz w:val="36"/>
          <w:szCs w:val="36"/>
          <w:highlight w:val="none"/>
          <w:lang w:val="en-US" w:eastAsia="zh-CN"/>
        </w:rPr>
        <w:t>第四章  合同条款及格式</w:t>
      </w:r>
      <w:bookmarkEnd w:id="25"/>
    </w:p>
    <w:p w14:paraId="592241A1">
      <w:pPr>
        <w:rPr>
          <w:rFonts w:hint="eastAsia"/>
          <w:color w:val="auto"/>
          <w:highlight w:val="none"/>
        </w:rPr>
      </w:pPr>
    </w:p>
    <w:p w14:paraId="29396D1A">
      <w:pPr>
        <w:jc w:val="center"/>
        <w:rPr>
          <w:rFonts w:hint="eastAsia" w:asciiTheme="majorEastAsia" w:hAnsiTheme="majorEastAsia" w:eastAsiaTheme="majorEastAsia" w:cstheme="majorEastAsia"/>
          <w:bCs/>
          <w:color w:val="auto"/>
          <w:sz w:val="44"/>
          <w:szCs w:val="22"/>
          <w:highlight w:val="none"/>
          <w:u w:val="single"/>
          <w:lang w:val="en-US" w:eastAsia="zh-CN"/>
        </w:rPr>
      </w:pPr>
      <w:r>
        <w:rPr>
          <w:rFonts w:hint="eastAsia" w:asciiTheme="majorEastAsia" w:hAnsiTheme="majorEastAsia" w:eastAsiaTheme="majorEastAsia" w:cstheme="majorEastAsia"/>
          <w:bCs/>
          <w:color w:val="auto"/>
          <w:sz w:val="44"/>
          <w:szCs w:val="22"/>
          <w:highlight w:val="none"/>
          <w:u w:val="single"/>
          <w:lang w:val="en-US" w:eastAsia="zh-CN"/>
        </w:rPr>
        <w:t>蚩尤九黎城东城门至九黎酒店供水管道改道项目</w:t>
      </w:r>
    </w:p>
    <w:p w14:paraId="464D4F13">
      <w:pPr>
        <w:jc w:val="center"/>
        <w:rPr>
          <w:rFonts w:hint="eastAsia" w:asciiTheme="majorEastAsia" w:hAnsiTheme="majorEastAsia" w:eastAsiaTheme="majorEastAsia" w:cstheme="majorEastAsia"/>
          <w:bCs/>
          <w:color w:val="auto"/>
          <w:sz w:val="44"/>
          <w:szCs w:val="22"/>
          <w:highlight w:val="none"/>
          <w:u w:val="single"/>
          <w:lang w:val="en-US" w:eastAsia="zh-CN"/>
        </w:rPr>
      </w:pPr>
      <w:r>
        <w:rPr>
          <w:rFonts w:hint="eastAsia" w:asciiTheme="majorEastAsia" w:hAnsiTheme="majorEastAsia" w:eastAsiaTheme="majorEastAsia" w:cstheme="majorEastAsia"/>
          <w:bCs/>
          <w:color w:val="auto"/>
          <w:sz w:val="44"/>
          <w:szCs w:val="22"/>
          <w:highlight w:val="none"/>
          <w:u w:val="single"/>
          <w:lang w:val="en-US" w:eastAsia="zh-CN"/>
        </w:rPr>
        <w:t>（劳务分包）</w:t>
      </w:r>
    </w:p>
    <w:p w14:paraId="1906D7A1">
      <w:pPr>
        <w:jc w:val="center"/>
        <w:rPr>
          <w:rFonts w:hint="eastAsia"/>
          <w:sz w:val="44"/>
          <w:szCs w:val="52"/>
        </w:rPr>
      </w:pPr>
      <w:r>
        <w:rPr>
          <w:rFonts w:hint="eastAsia"/>
          <w:sz w:val="44"/>
          <w:szCs w:val="52"/>
        </w:rPr>
        <w:t>施工合同</w:t>
      </w:r>
    </w:p>
    <w:p w14:paraId="069380B0">
      <w:pPr>
        <w:pStyle w:val="2"/>
        <w:rPr>
          <w:rFonts w:ascii="黑体"/>
          <w:b/>
          <w:color w:val="auto"/>
          <w:sz w:val="48"/>
          <w:highlight w:val="none"/>
        </w:rPr>
      </w:pPr>
    </w:p>
    <w:p w14:paraId="65964910">
      <w:pPr>
        <w:pStyle w:val="2"/>
        <w:rPr>
          <w:rFonts w:ascii="黑体"/>
          <w:b/>
          <w:color w:val="auto"/>
          <w:sz w:val="48"/>
          <w:highlight w:val="none"/>
        </w:rPr>
      </w:pPr>
    </w:p>
    <w:p w14:paraId="717128EC">
      <w:pPr>
        <w:pStyle w:val="2"/>
        <w:rPr>
          <w:rFonts w:ascii="黑体"/>
          <w:b/>
          <w:color w:val="auto"/>
          <w:sz w:val="48"/>
          <w:highlight w:val="none"/>
        </w:rPr>
      </w:pPr>
    </w:p>
    <w:p w14:paraId="384FB0FB">
      <w:pPr>
        <w:pStyle w:val="2"/>
        <w:rPr>
          <w:rFonts w:ascii="黑体"/>
          <w:b/>
          <w:color w:val="auto"/>
          <w:sz w:val="48"/>
          <w:highlight w:val="none"/>
        </w:rPr>
      </w:pPr>
    </w:p>
    <w:p w14:paraId="58AC8EFF">
      <w:pPr>
        <w:pStyle w:val="2"/>
        <w:rPr>
          <w:rFonts w:ascii="黑体"/>
          <w:b/>
          <w:color w:val="auto"/>
          <w:sz w:val="48"/>
          <w:highlight w:val="none"/>
        </w:rPr>
      </w:pPr>
    </w:p>
    <w:p w14:paraId="5BAA9325">
      <w:pPr>
        <w:pStyle w:val="2"/>
        <w:rPr>
          <w:rFonts w:ascii="黑体"/>
          <w:b/>
          <w:color w:val="auto"/>
          <w:sz w:val="48"/>
          <w:highlight w:val="none"/>
        </w:rPr>
      </w:pPr>
    </w:p>
    <w:p w14:paraId="62F2CB88">
      <w:pPr>
        <w:pStyle w:val="2"/>
        <w:rPr>
          <w:rFonts w:ascii="黑体"/>
          <w:b/>
          <w:color w:val="auto"/>
          <w:sz w:val="48"/>
          <w:highlight w:val="none"/>
        </w:rPr>
      </w:pPr>
    </w:p>
    <w:p w14:paraId="5B02981E">
      <w:pPr>
        <w:pStyle w:val="2"/>
        <w:spacing w:before="5"/>
        <w:rPr>
          <w:rFonts w:ascii="黑体"/>
          <w:b/>
          <w:color w:val="auto"/>
          <w:sz w:val="39"/>
          <w:highlight w:val="none"/>
        </w:rPr>
      </w:pPr>
    </w:p>
    <w:p w14:paraId="2B7B0AD2">
      <w:pPr>
        <w:pStyle w:val="7"/>
        <w:spacing w:line="364" w:lineRule="auto"/>
        <w:ind w:right="2344" w:firstLine="534"/>
        <w:rPr>
          <w:rFonts w:hint="default" w:cs="Times New Roman"/>
          <w:b/>
          <w:bCs/>
          <w:color w:val="auto"/>
          <w:w w:val="95"/>
          <w:sz w:val="32"/>
          <w:szCs w:val="32"/>
          <w:highlight w:val="none"/>
          <w:u w:val="single"/>
          <w:lang w:val="en-US" w:eastAsia="zh-CN"/>
        </w:rPr>
      </w:pPr>
    </w:p>
    <w:p w14:paraId="09F9F232">
      <w:pPr>
        <w:ind w:firstLine="534"/>
        <w:rPr>
          <w:rFonts w:hint="default" w:ascii="等线 Light" w:hAnsi="等线 Light" w:eastAsia="等线 Light" w:cs="Times New Roman"/>
          <w:b/>
          <w:bCs/>
          <w:color w:val="auto"/>
          <w:w w:val="95"/>
          <w:kern w:val="2"/>
          <w:sz w:val="32"/>
          <w:szCs w:val="32"/>
          <w:highlight w:val="none"/>
          <w:u w:val="single"/>
          <w:lang w:val="en-US" w:eastAsia="zh-CN" w:bidi="ar-SA"/>
        </w:rPr>
      </w:pPr>
      <w:r>
        <w:rPr>
          <w:rFonts w:hint="eastAsia" w:ascii="等线 Light" w:hAnsi="等线 Light" w:eastAsia="等线 Light" w:cs="Times New Roman"/>
          <w:b/>
          <w:bCs/>
          <w:color w:val="auto"/>
          <w:w w:val="95"/>
          <w:kern w:val="2"/>
          <w:sz w:val="32"/>
          <w:szCs w:val="32"/>
          <w:highlight w:val="none"/>
          <w:u w:val="none"/>
          <w:lang w:val="en-US" w:eastAsia="zh-CN" w:bidi="ar-SA"/>
        </w:rPr>
        <w:t>发包人：</w:t>
      </w:r>
      <w:r>
        <w:rPr>
          <w:rFonts w:hint="eastAsia" w:ascii="等线 Light" w:hAnsi="等线 Light" w:eastAsia="等线 Light" w:cs="Times New Roman"/>
          <w:b/>
          <w:bCs/>
          <w:color w:val="auto"/>
          <w:w w:val="95"/>
          <w:kern w:val="2"/>
          <w:sz w:val="32"/>
          <w:szCs w:val="32"/>
          <w:highlight w:val="none"/>
          <w:u w:val="single"/>
          <w:lang w:val="en-US" w:eastAsia="zh-CN" w:bidi="ar-SA"/>
        </w:rPr>
        <w:t>彭水九黎文化旅游投资有限公司</w:t>
      </w:r>
    </w:p>
    <w:p w14:paraId="3D4F8C60">
      <w:pPr>
        <w:pStyle w:val="7"/>
        <w:spacing w:line="364" w:lineRule="auto"/>
        <w:ind w:right="2344" w:firstLine="608" w:firstLineChars="200"/>
        <w:jc w:val="both"/>
        <w:rPr>
          <w:color w:val="auto"/>
          <w:w w:val="95"/>
          <w:sz w:val="32"/>
          <w:szCs w:val="32"/>
          <w:highlight w:val="none"/>
        </w:rPr>
      </w:pPr>
      <w:r>
        <w:rPr>
          <w:color w:val="auto"/>
          <w:w w:val="95"/>
          <w:sz w:val="32"/>
          <w:szCs w:val="32"/>
          <w:highlight w:val="none"/>
        </w:rPr>
        <w:t>承包人</w:t>
      </w:r>
      <w:r>
        <w:rPr>
          <w:rFonts w:hint="eastAsia"/>
          <w:color w:val="auto"/>
          <w:w w:val="95"/>
          <w:sz w:val="32"/>
          <w:szCs w:val="32"/>
          <w:highlight w:val="none"/>
        </w:rPr>
        <w:t>：</w:t>
      </w:r>
      <w:r>
        <w:rPr>
          <w:rFonts w:hint="eastAsia"/>
          <w:color w:val="auto"/>
          <w:w w:val="95"/>
          <w:sz w:val="32"/>
          <w:szCs w:val="32"/>
          <w:highlight w:val="none"/>
          <w:u w:val="single"/>
        </w:rPr>
        <w:t xml:space="preserve">           </w:t>
      </w:r>
      <w:r>
        <w:rPr>
          <w:rFonts w:hint="eastAsia"/>
          <w:color w:val="auto"/>
          <w:w w:val="95"/>
          <w:sz w:val="32"/>
          <w:szCs w:val="32"/>
          <w:highlight w:val="none"/>
          <w:u w:val="single"/>
          <w:lang w:val="en-US" w:eastAsia="zh-CN"/>
        </w:rPr>
        <w:t xml:space="preserve">       </w:t>
      </w:r>
      <w:r>
        <w:rPr>
          <w:rFonts w:hint="eastAsia"/>
          <w:color w:val="auto"/>
          <w:w w:val="95"/>
          <w:sz w:val="32"/>
          <w:szCs w:val="32"/>
          <w:highlight w:val="none"/>
          <w:u w:val="single"/>
        </w:rPr>
        <w:t xml:space="preserve">      </w:t>
      </w:r>
    </w:p>
    <w:p w14:paraId="58452E31">
      <w:pPr>
        <w:tabs>
          <w:tab w:val="left" w:pos="5676"/>
          <w:tab w:val="left" w:pos="6480"/>
        </w:tabs>
        <w:spacing w:before="2"/>
        <w:jc w:val="left"/>
        <w:rPr>
          <w:b/>
          <w:color w:val="auto"/>
          <w:sz w:val="32"/>
          <w:highlight w:val="none"/>
        </w:rPr>
      </w:pPr>
    </w:p>
    <w:p w14:paraId="60FBE491">
      <w:pPr>
        <w:tabs>
          <w:tab w:val="left" w:pos="5676"/>
          <w:tab w:val="left" w:pos="6480"/>
        </w:tabs>
        <w:spacing w:before="2"/>
        <w:ind w:firstLine="1928" w:firstLineChars="600"/>
        <w:jc w:val="left"/>
        <w:rPr>
          <w:b/>
          <w:color w:val="auto"/>
          <w:sz w:val="32"/>
          <w:highlight w:val="none"/>
        </w:rPr>
      </w:pPr>
      <w:r>
        <w:rPr>
          <w:b/>
          <w:color w:val="auto"/>
          <w:sz w:val="32"/>
          <w:highlight w:val="none"/>
        </w:rPr>
        <w:t>签订日期：</w:t>
      </w:r>
      <w:r>
        <w:rPr>
          <w:rFonts w:hint="eastAsia"/>
          <w:b/>
          <w:color w:val="auto"/>
          <w:sz w:val="32"/>
          <w:highlight w:val="none"/>
          <w:lang w:val="en-US" w:eastAsia="zh-CN"/>
        </w:rPr>
        <w:t xml:space="preserve"> </w:t>
      </w:r>
      <w:r>
        <w:rPr>
          <w:rFonts w:hint="eastAsia"/>
          <w:b/>
          <w:color w:val="auto"/>
          <w:sz w:val="32"/>
          <w:highlight w:val="none"/>
        </w:rPr>
        <w:t xml:space="preserve"> 年  </w:t>
      </w:r>
      <w:r>
        <w:rPr>
          <w:b/>
          <w:color w:val="auto"/>
          <w:sz w:val="32"/>
          <w:highlight w:val="none"/>
        </w:rPr>
        <w:t>月</w:t>
      </w:r>
      <w:r>
        <w:rPr>
          <w:b/>
          <w:color w:val="auto"/>
          <w:sz w:val="32"/>
          <w:highlight w:val="none"/>
        </w:rPr>
        <w:tab/>
      </w:r>
      <w:r>
        <w:rPr>
          <w:b/>
          <w:color w:val="auto"/>
          <w:sz w:val="32"/>
          <w:highlight w:val="none"/>
        </w:rPr>
        <w:t>日</w:t>
      </w:r>
    </w:p>
    <w:p w14:paraId="2AC5AE52">
      <w:pPr>
        <w:jc w:val="left"/>
        <w:rPr>
          <w:color w:val="auto"/>
          <w:sz w:val="32"/>
          <w:highlight w:val="none"/>
        </w:rPr>
        <w:sectPr>
          <w:headerReference r:id="rId6" w:type="default"/>
          <w:footerReference r:id="rId7" w:type="default"/>
          <w:pgSz w:w="11905" w:h="16838"/>
          <w:pgMar w:top="1134" w:right="850" w:bottom="964" w:left="1020" w:header="850" w:footer="992" w:gutter="0"/>
          <w:pgBorders>
            <w:top w:val="none" w:sz="0" w:space="0"/>
            <w:left w:val="none" w:sz="0" w:space="0"/>
            <w:bottom w:val="none" w:sz="0" w:space="0"/>
            <w:right w:val="none" w:sz="0" w:space="0"/>
          </w:pgBorders>
          <w:pgNumType w:fmt="decimal" w:start="1"/>
          <w:cols w:space="720" w:num="1"/>
          <w:rtlGutter w:val="0"/>
          <w:docGrid w:type="lines" w:linePitch="317" w:charSpace="0"/>
        </w:sectPr>
      </w:pPr>
    </w:p>
    <w:p w14:paraId="76CA5B4B">
      <w:pPr>
        <w:pStyle w:val="2"/>
        <w:jc w:val="center"/>
        <w:rPr>
          <w:b/>
          <w:color w:val="auto"/>
          <w:sz w:val="20"/>
          <w:highlight w:val="none"/>
        </w:rPr>
      </w:pPr>
      <w:r>
        <w:rPr>
          <w:rFonts w:hint="eastAsia" w:ascii="宋体" w:hAnsi="宋体"/>
          <w:b/>
          <w:sz w:val="44"/>
          <w:szCs w:val="44"/>
        </w:rPr>
        <w:t>合同协议书</w:t>
      </w:r>
    </w:p>
    <w:p w14:paraId="7435E275">
      <w:pPr>
        <w:pStyle w:val="2"/>
        <w:spacing w:before="1"/>
        <w:rPr>
          <w:b/>
          <w:color w:val="auto"/>
          <w:sz w:val="14"/>
          <w:highlight w:val="none"/>
        </w:rPr>
      </w:pPr>
    </w:p>
    <w:p w14:paraId="54DD8055">
      <w:pPr>
        <w:pStyle w:val="8"/>
        <w:keepNext w:val="0"/>
        <w:keepLines w:val="0"/>
        <w:pageBreakBefore w:val="0"/>
        <w:tabs>
          <w:tab w:val="left" w:pos="4709"/>
          <w:tab w:val="left" w:pos="6395"/>
        </w:tabs>
        <w:kinsoku/>
        <w:wordWrap/>
        <w:overflowPunct/>
        <w:topLinePunct w:val="0"/>
        <w:autoSpaceDE/>
        <w:autoSpaceDN/>
        <w:bidi w:val="0"/>
        <w:adjustRightInd/>
        <w:snapToGrid/>
        <w:spacing w:before="74" w:line="500" w:lineRule="exact"/>
        <w:ind w:left="0" w:right="1462" w:firstLine="422" w:firstLineChars="200"/>
        <w:rPr>
          <w:color w:val="auto"/>
          <w:highlight w:val="none"/>
        </w:rPr>
      </w:pPr>
      <w:r>
        <w:rPr>
          <w:rFonts w:hint="eastAsia"/>
          <w:color w:val="auto"/>
          <w:sz w:val="21"/>
          <w:szCs w:val="21"/>
          <w:highlight w:val="none"/>
          <w:lang w:val="en-US" w:eastAsia="zh-CN"/>
        </w:rPr>
        <w:t>发包人（全称）：</w:t>
      </w:r>
      <w:r>
        <w:rPr>
          <w:rFonts w:hint="eastAsia"/>
          <w:color w:val="auto"/>
          <w:sz w:val="21"/>
          <w:szCs w:val="21"/>
          <w:highlight w:val="none"/>
          <w:u w:val="single"/>
          <w:lang w:val="en-US" w:eastAsia="zh-CN"/>
        </w:rPr>
        <w:t xml:space="preserve">彭水九黎文化旅游投资有限公司             </w:t>
      </w:r>
      <w:r>
        <w:rPr>
          <w:color w:val="auto"/>
          <w:sz w:val="21"/>
          <w:szCs w:val="21"/>
          <w:highlight w:val="none"/>
        </w:rPr>
        <w:t>（简称甲方</w:t>
      </w:r>
      <w:r>
        <w:rPr>
          <w:color w:val="auto"/>
          <w:spacing w:val="-8"/>
          <w:sz w:val="21"/>
          <w:szCs w:val="21"/>
          <w:highlight w:val="none"/>
        </w:rPr>
        <w:t>）</w:t>
      </w:r>
    </w:p>
    <w:p w14:paraId="3E782148">
      <w:pPr>
        <w:pStyle w:val="8"/>
        <w:keepNext w:val="0"/>
        <w:keepLines w:val="0"/>
        <w:pageBreakBefore w:val="0"/>
        <w:tabs>
          <w:tab w:val="left" w:pos="4709"/>
          <w:tab w:val="left" w:pos="6395"/>
        </w:tabs>
        <w:kinsoku/>
        <w:wordWrap/>
        <w:overflowPunct/>
        <w:topLinePunct w:val="0"/>
        <w:autoSpaceDE/>
        <w:autoSpaceDN/>
        <w:bidi w:val="0"/>
        <w:adjustRightInd/>
        <w:snapToGrid/>
        <w:spacing w:before="74" w:line="500" w:lineRule="exact"/>
        <w:ind w:left="0" w:right="1462" w:firstLine="422" w:firstLineChars="200"/>
        <w:rPr>
          <w:color w:val="auto"/>
          <w:sz w:val="21"/>
          <w:szCs w:val="21"/>
          <w:highlight w:val="none"/>
        </w:rPr>
      </w:pPr>
      <w:r>
        <w:rPr>
          <w:color w:val="auto"/>
          <w:sz w:val="21"/>
          <w:szCs w:val="21"/>
          <w:highlight w:val="none"/>
        </w:rPr>
        <w:t>承包人</w:t>
      </w:r>
      <w:r>
        <w:rPr>
          <w:rFonts w:hint="eastAsia"/>
          <w:color w:val="auto"/>
          <w:sz w:val="21"/>
          <w:szCs w:val="21"/>
          <w:highlight w:val="none"/>
          <w:lang w:eastAsia="zh-CN"/>
        </w:rPr>
        <w:t>（</w:t>
      </w:r>
      <w:r>
        <w:rPr>
          <w:rFonts w:hint="eastAsia"/>
          <w:color w:val="auto"/>
          <w:sz w:val="21"/>
          <w:szCs w:val="21"/>
          <w:highlight w:val="none"/>
          <w:lang w:val="en-US" w:eastAsia="zh-CN"/>
        </w:rPr>
        <w:t>全称</w:t>
      </w:r>
      <w:r>
        <w:rPr>
          <w:rFonts w:hint="eastAsia"/>
          <w:color w:val="auto"/>
          <w:sz w:val="21"/>
          <w:szCs w:val="21"/>
          <w:highlight w:val="none"/>
          <w:lang w:eastAsia="zh-CN"/>
        </w:rPr>
        <w:t>）</w:t>
      </w:r>
      <w:r>
        <w:rPr>
          <w:color w:val="auto"/>
          <w:sz w:val="21"/>
          <w:szCs w:val="21"/>
          <w:highlight w:val="none"/>
        </w:rPr>
        <w:t>：</w:t>
      </w:r>
      <w:r>
        <w:rPr>
          <w:color w:val="auto"/>
          <w:sz w:val="21"/>
          <w:szCs w:val="21"/>
          <w:highlight w:val="none"/>
          <w:u w:val="single"/>
        </w:rPr>
        <w:t xml:space="preserve"> </w:t>
      </w:r>
      <w:r>
        <w:rPr>
          <w:rFonts w:hint="eastAsia"/>
          <w:color w:val="auto"/>
          <w:sz w:val="21"/>
          <w:szCs w:val="21"/>
          <w:highlight w:val="none"/>
          <w:u w:val="single"/>
          <w:lang w:val="en-US"/>
        </w:rPr>
        <w:t xml:space="preserve">                                        </w:t>
      </w:r>
      <w:r>
        <w:rPr>
          <w:color w:val="auto"/>
          <w:sz w:val="21"/>
          <w:szCs w:val="21"/>
          <w:highlight w:val="none"/>
        </w:rPr>
        <w:t>（简称乙方）；</w:t>
      </w:r>
    </w:p>
    <w:p w14:paraId="22555FFB">
      <w:pPr>
        <w:pStyle w:val="2"/>
        <w:keepNext w:val="0"/>
        <w:keepLines w:val="0"/>
        <w:pageBreakBefore w:val="0"/>
        <w:tabs>
          <w:tab w:val="left" w:pos="3499"/>
        </w:tabs>
        <w:kinsoku/>
        <w:wordWrap/>
        <w:overflowPunct/>
        <w:topLinePunct w:val="0"/>
        <w:autoSpaceDE/>
        <w:autoSpaceDN/>
        <w:bidi w:val="0"/>
        <w:adjustRightInd/>
        <w:snapToGrid/>
        <w:spacing w:line="500" w:lineRule="exact"/>
        <w:ind w:left="132" w:right="318" w:firstLine="420"/>
        <w:rPr>
          <w:color w:val="auto"/>
          <w:sz w:val="21"/>
          <w:szCs w:val="21"/>
          <w:highlight w:val="none"/>
        </w:rPr>
      </w:pPr>
      <w:r>
        <w:rPr>
          <w:color w:val="auto"/>
          <w:sz w:val="21"/>
          <w:szCs w:val="21"/>
          <w:highlight w:val="none"/>
        </w:rPr>
        <w:t>本项目确定由</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rPr>
        <w:t>负责</w:t>
      </w:r>
      <w:r>
        <w:rPr>
          <w:rFonts w:hint="eastAsia"/>
          <w:color w:val="auto"/>
          <w:sz w:val="21"/>
          <w:szCs w:val="21"/>
          <w:highlight w:val="none"/>
          <w:u w:val="single" w:color="000000"/>
        </w:rPr>
        <w:t xml:space="preserve">  </w:t>
      </w:r>
      <w:r>
        <w:rPr>
          <w:rFonts w:hint="eastAsia"/>
          <w:color w:val="auto"/>
          <w:sz w:val="21"/>
          <w:szCs w:val="21"/>
          <w:highlight w:val="none"/>
          <w:u w:val="single"/>
          <w:lang w:val="en-US" w:eastAsia="zh-CN"/>
        </w:rPr>
        <w:t>蚩尤九黎城东城门至九黎酒店供水管道改道项目（劳务分包）</w:t>
      </w:r>
      <w:r>
        <w:rPr>
          <w:color w:val="auto"/>
          <w:spacing w:val="-8"/>
          <w:sz w:val="21"/>
          <w:szCs w:val="21"/>
          <w:highlight w:val="none"/>
          <w:u w:val="single"/>
        </w:rPr>
        <w:t xml:space="preserve"> </w:t>
      </w:r>
      <w:r>
        <w:rPr>
          <w:rFonts w:hint="eastAsia"/>
          <w:color w:val="auto"/>
          <w:sz w:val="21"/>
          <w:szCs w:val="21"/>
          <w:highlight w:val="none"/>
          <w:u w:val="single" w:color="000000"/>
        </w:rPr>
        <w:t xml:space="preserve"> </w:t>
      </w:r>
      <w:r>
        <w:rPr>
          <w:color w:val="auto"/>
          <w:sz w:val="21"/>
          <w:szCs w:val="21"/>
          <w:highlight w:val="none"/>
        </w:rPr>
        <w:t>施工工作</w:t>
      </w:r>
      <w:r>
        <w:rPr>
          <w:color w:val="auto"/>
          <w:spacing w:val="-99"/>
          <w:sz w:val="21"/>
          <w:szCs w:val="21"/>
          <w:highlight w:val="none"/>
        </w:rPr>
        <w:t>，</w:t>
      </w:r>
      <w:r>
        <w:rPr>
          <w:color w:val="auto"/>
          <w:sz w:val="21"/>
          <w:szCs w:val="21"/>
          <w:highlight w:val="none"/>
        </w:rPr>
        <w:t>在遵循平等</w:t>
      </w:r>
      <w:r>
        <w:rPr>
          <w:color w:val="auto"/>
          <w:spacing w:val="-97"/>
          <w:sz w:val="21"/>
          <w:szCs w:val="21"/>
          <w:highlight w:val="none"/>
        </w:rPr>
        <w:t>、</w:t>
      </w:r>
      <w:r>
        <w:rPr>
          <w:color w:val="auto"/>
          <w:sz w:val="21"/>
          <w:szCs w:val="21"/>
          <w:highlight w:val="none"/>
        </w:rPr>
        <w:t>自愿、公平和诚实信用的原则上，经甲</w:t>
      </w:r>
      <w:r>
        <w:rPr>
          <w:rFonts w:hint="eastAsia"/>
          <w:color w:val="auto"/>
          <w:sz w:val="21"/>
          <w:szCs w:val="21"/>
          <w:highlight w:val="none"/>
          <w:lang w:eastAsia="zh-CN"/>
        </w:rPr>
        <w:t>、</w:t>
      </w:r>
      <w:r>
        <w:rPr>
          <w:color w:val="auto"/>
          <w:sz w:val="21"/>
          <w:szCs w:val="21"/>
          <w:highlight w:val="none"/>
        </w:rPr>
        <w:t>乙双方平等协商，就</w:t>
      </w:r>
      <w:r>
        <w:rPr>
          <w:color w:val="auto"/>
          <w:spacing w:val="-7"/>
          <w:sz w:val="21"/>
          <w:szCs w:val="21"/>
          <w:highlight w:val="none"/>
          <w:u w:val="single"/>
        </w:rPr>
        <w:t xml:space="preserve"> </w:t>
      </w:r>
      <w:r>
        <w:rPr>
          <w:rFonts w:hint="eastAsia"/>
          <w:color w:val="auto"/>
          <w:sz w:val="21"/>
          <w:szCs w:val="21"/>
          <w:highlight w:val="none"/>
          <w:u w:val="single"/>
          <w:lang w:val="en-US" w:eastAsia="zh-CN"/>
        </w:rPr>
        <w:t>蚩尤九黎城东城门至九黎酒店供水管道改道项目（劳务分包）</w:t>
      </w:r>
      <w:r>
        <w:rPr>
          <w:rFonts w:hint="eastAsia"/>
          <w:color w:val="auto"/>
          <w:sz w:val="21"/>
          <w:szCs w:val="21"/>
          <w:highlight w:val="none"/>
          <w:u w:val="single"/>
        </w:rPr>
        <w:t xml:space="preserve"> </w:t>
      </w:r>
      <w:r>
        <w:rPr>
          <w:color w:val="auto"/>
          <w:spacing w:val="-8"/>
          <w:sz w:val="21"/>
          <w:szCs w:val="21"/>
          <w:highlight w:val="none"/>
          <w:u w:val="single"/>
        </w:rPr>
        <w:t xml:space="preserve"> </w:t>
      </w:r>
      <w:r>
        <w:rPr>
          <w:color w:val="auto"/>
          <w:sz w:val="21"/>
          <w:szCs w:val="21"/>
          <w:highlight w:val="none"/>
        </w:rPr>
        <w:t>施工事宜，订立本合同。</w:t>
      </w:r>
    </w:p>
    <w:p w14:paraId="6AF152E4">
      <w:pPr>
        <w:pStyle w:val="8"/>
        <w:keepNext w:val="0"/>
        <w:keepLines w:val="0"/>
        <w:pageBreakBefore w:val="0"/>
        <w:kinsoku/>
        <w:wordWrap/>
        <w:overflowPunct/>
        <w:topLinePunct w:val="0"/>
        <w:autoSpaceDE/>
        <w:autoSpaceDN/>
        <w:bidi w:val="0"/>
        <w:adjustRightInd/>
        <w:snapToGrid/>
        <w:spacing w:before="127" w:line="500" w:lineRule="exact"/>
        <w:rPr>
          <w:color w:val="auto"/>
          <w:sz w:val="21"/>
          <w:szCs w:val="21"/>
          <w:highlight w:val="none"/>
        </w:rPr>
      </w:pPr>
      <w:r>
        <w:rPr>
          <w:color w:val="auto"/>
          <w:sz w:val="21"/>
          <w:szCs w:val="21"/>
          <w:highlight w:val="none"/>
        </w:rPr>
        <w:t>一、工程基本情况</w:t>
      </w:r>
    </w:p>
    <w:p w14:paraId="73DD8B5E">
      <w:pPr>
        <w:pStyle w:val="18"/>
        <w:keepNext w:val="0"/>
        <w:keepLines w:val="0"/>
        <w:pageBreakBefore w:val="0"/>
        <w:numPr>
          <w:ilvl w:val="0"/>
          <w:numId w:val="4"/>
        </w:numPr>
        <w:tabs>
          <w:tab w:val="left" w:pos="764"/>
        </w:tabs>
        <w:kinsoku/>
        <w:wordWrap/>
        <w:overflowPunct/>
        <w:topLinePunct w:val="0"/>
        <w:autoSpaceDE/>
        <w:autoSpaceDN/>
        <w:bidi w:val="0"/>
        <w:adjustRightInd/>
        <w:snapToGrid/>
        <w:spacing w:before="126" w:line="500" w:lineRule="exact"/>
        <w:jc w:val="left"/>
        <w:rPr>
          <w:color w:val="auto"/>
          <w:szCs w:val="21"/>
          <w:highlight w:val="none"/>
        </w:rPr>
      </w:pPr>
      <w:r>
        <w:rPr>
          <w:color w:val="auto"/>
          <w:szCs w:val="21"/>
          <w:highlight w:val="none"/>
        </w:rPr>
        <w:t>工程项目名称：</w:t>
      </w:r>
      <w:r>
        <w:rPr>
          <w:rFonts w:hint="eastAsia"/>
          <w:color w:val="auto"/>
          <w:spacing w:val="-7"/>
          <w:sz w:val="21"/>
          <w:szCs w:val="21"/>
          <w:highlight w:val="none"/>
          <w:u w:val="single"/>
          <w:lang w:eastAsia="zh-CN"/>
        </w:rPr>
        <w:t>蚩尤九黎城东城门至九黎酒店供水管道改道项目（劳务分包）</w:t>
      </w:r>
      <w:r>
        <w:rPr>
          <w:rFonts w:hint="eastAsia"/>
          <w:color w:val="auto"/>
          <w:sz w:val="21"/>
          <w:szCs w:val="21"/>
          <w:highlight w:val="none"/>
          <w:u w:val="single"/>
        </w:rPr>
        <w:t xml:space="preserve"> </w:t>
      </w:r>
    </w:p>
    <w:p w14:paraId="3CFD0205">
      <w:pPr>
        <w:pStyle w:val="18"/>
        <w:keepNext w:val="0"/>
        <w:keepLines w:val="0"/>
        <w:pageBreakBefore w:val="0"/>
        <w:numPr>
          <w:ilvl w:val="0"/>
          <w:numId w:val="4"/>
        </w:numPr>
        <w:tabs>
          <w:tab w:val="left" w:pos="764"/>
        </w:tabs>
        <w:kinsoku/>
        <w:wordWrap/>
        <w:overflowPunct/>
        <w:topLinePunct w:val="0"/>
        <w:autoSpaceDE/>
        <w:autoSpaceDN/>
        <w:bidi w:val="0"/>
        <w:adjustRightInd/>
        <w:snapToGrid/>
        <w:spacing w:before="139" w:line="500" w:lineRule="exact"/>
        <w:jc w:val="left"/>
        <w:rPr>
          <w:rFonts w:hint="eastAsia"/>
          <w:color w:val="auto"/>
          <w:szCs w:val="21"/>
          <w:highlight w:val="none"/>
          <w:u w:val="single" w:color="000000"/>
        </w:rPr>
      </w:pPr>
      <w:r>
        <w:rPr>
          <w:color w:val="auto"/>
          <w:szCs w:val="21"/>
          <w:highlight w:val="none"/>
        </w:rPr>
        <w:t>工程建设地点：</w:t>
      </w:r>
      <w:r>
        <w:rPr>
          <w:rFonts w:hint="eastAsia"/>
          <w:color w:val="auto"/>
          <w:szCs w:val="21"/>
          <w:highlight w:val="none"/>
          <w:u w:val="single" w:color="000000"/>
        </w:rPr>
        <w:t xml:space="preserve"> </w:t>
      </w:r>
      <w:r>
        <w:rPr>
          <w:rFonts w:hint="eastAsia"/>
          <w:color w:val="auto"/>
          <w:szCs w:val="21"/>
          <w:highlight w:val="none"/>
          <w:u w:val="single" w:color="000000"/>
          <w:lang w:val="en-US"/>
        </w:rPr>
        <w:t xml:space="preserve">  </w:t>
      </w:r>
      <w:r>
        <w:rPr>
          <w:rFonts w:hint="eastAsia"/>
          <w:color w:val="auto"/>
          <w:szCs w:val="21"/>
          <w:highlight w:val="none"/>
          <w:u w:val="single" w:color="000000"/>
          <w:lang w:val="en-US" w:eastAsia="zh-CN"/>
        </w:rPr>
        <w:t xml:space="preserve">                  </w:t>
      </w:r>
      <w:r>
        <w:rPr>
          <w:rFonts w:hint="eastAsia"/>
          <w:color w:val="auto"/>
          <w:szCs w:val="21"/>
          <w:highlight w:val="none"/>
          <w:u w:val="single" w:color="000000"/>
          <w:lang w:val="en-US"/>
        </w:rPr>
        <w:t xml:space="preserve">      </w:t>
      </w:r>
      <w:r>
        <w:rPr>
          <w:rFonts w:hint="eastAsia"/>
          <w:color w:val="auto"/>
          <w:szCs w:val="21"/>
          <w:highlight w:val="none"/>
          <w:u w:val="single" w:color="000000"/>
        </w:rPr>
        <w:t xml:space="preserve"> </w:t>
      </w:r>
      <w:r>
        <w:rPr>
          <w:rFonts w:hint="eastAsia"/>
          <w:color w:val="auto"/>
          <w:szCs w:val="21"/>
          <w:highlight w:val="none"/>
          <w:u w:val="single" w:color="000000"/>
          <w:lang w:val="en-US" w:eastAsia="zh-CN"/>
        </w:rPr>
        <w:t xml:space="preserve"> </w:t>
      </w:r>
    </w:p>
    <w:p w14:paraId="6C5AC5C3">
      <w:pPr>
        <w:pStyle w:val="18"/>
        <w:keepNext w:val="0"/>
        <w:keepLines w:val="0"/>
        <w:pageBreakBefore w:val="0"/>
        <w:numPr>
          <w:ilvl w:val="0"/>
          <w:numId w:val="4"/>
        </w:numPr>
        <w:tabs>
          <w:tab w:val="left" w:pos="764"/>
        </w:tabs>
        <w:kinsoku/>
        <w:wordWrap/>
        <w:overflowPunct/>
        <w:topLinePunct w:val="0"/>
        <w:autoSpaceDE/>
        <w:autoSpaceDN/>
        <w:bidi w:val="0"/>
        <w:adjustRightInd/>
        <w:snapToGrid/>
        <w:spacing w:before="139" w:line="500" w:lineRule="exact"/>
        <w:jc w:val="left"/>
        <w:rPr>
          <w:rFonts w:hint="eastAsia"/>
          <w:color w:val="auto"/>
          <w:spacing w:val="-10"/>
          <w:szCs w:val="21"/>
          <w:highlight w:val="none"/>
        </w:rPr>
      </w:pPr>
      <w:r>
        <w:rPr>
          <w:color w:val="auto"/>
          <w:szCs w:val="21"/>
          <w:highlight w:val="none"/>
        </w:rPr>
        <w:t>工程建设内容：</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p>
    <w:p w14:paraId="4C23509F">
      <w:pPr>
        <w:pStyle w:val="8"/>
        <w:keepNext w:val="0"/>
        <w:keepLines w:val="0"/>
        <w:pageBreakBefore w:val="0"/>
        <w:kinsoku/>
        <w:wordWrap/>
        <w:overflowPunct/>
        <w:topLinePunct w:val="0"/>
        <w:autoSpaceDE/>
        <w:autoSpaceDN/>
        <w:bidi w:val="0"/>
        <w:adjustRightInd/>
        <w:snapToGrid/>
        <w:spacing w:before="127" w:line="500" w:lineRule="exact"/>
        <w:rPr>
          <w:color w:val="auto"/>
          <w:sz w:val="21"/>
          <w:szCs w:val="21"/>
          <w:highlight w:val="none"/>
        </w:rPr>
      </w:pPr>
      <w:r>
        <w:rPr>
          <w:rFonts w:hint="eastAsia"/>
          <w:color w:val="auto"/>
          <w:sz w:val="21"/>
          <w:szCs w:val="21"/>
          <w:highlight w:val="none"/>
        </w:rPr>
        <w:t>二、</w:t>
      </w:r>
      <w:r>
        <w:rPr>
          <w:color w:val="auto"/>
          <w:sz w:val="21"/>
          <w:szCs w:val="21"/>
          <w:highlight w:val="none"/>
        </w:rPr>
        <w:t>工程承包方式、范围</w:t>
      </w:r>
    </w:p>
    <w:p w14:paraId="366DB2FF">
      <w:pPr>
        <w:pStyle w:val="2"/>
        <w:keepNext w:val="0"/>
        <w:keepLines w:val="0"/>
        <w:pageBreakBefore w:val="0"/>
        <w:kinsoku/>
        <w:wordWrap/>
        <w:overflowPunct/>
        <w:topLinePunct w:val="0"/>
        <w:autoSpaceDE/>
        <w:autoSpaceDN/>
        <w:bidi w:val="0"/>
        <w:adjustRightInd/>
        <w:snapToGrid/>
        <w:spacing w:before="128" w:line="500" w:lineRule="exact"/>
        <w:ind w:left="552"/>
        <w:rPr>
          <w:rFonts w:hint="eastAsia" w:ascii="Times New Roman" w:hAnsi="Times New Roman" w:eastAsia="宋体" w:cs="Times New Roman"/>
          <w:color w:val="auto"/>
          <w:sz w:val="21"/>
          <w:szCs w:val="21"/>
          <w:highlight w:val="none"/>
          <w:lang w:val="en-US" w:eastAsia="zh-CN"/>
        </w:rPr>
      </w:pPr>
      <w:r>
        <w:rPr>
          <w:color w:val="auto"/>
          <w:sz w:val="21"/>
          <w:szCs w:val="21"/>
          <w:highlight w:val="none"/>
        </w:rPr>
        <w:t>1、本项目实行</w:t>
      </w:r>
      <w:r>
        <w:rPr>
          <w:rFonts w:hint="eastAsia"/>
          <w:color w:val="auto"/>
          <w:sz w:val="21"/>
          <w:szCs w:val="21"/>
          <w:highlight w:val="none"/>
          <w:lang w:val="en-US" w:eastAsia="zh-CN"/>
        </w:rPr>
        <w:t>劳务及辅助材料承包</w:t>
      </w:r>
      <w:r>
        <w:rPr>
          <w:rFonts w:hint="eastAsia" w:ascii="Times New Roman" w:hAnsi="Times New Roman" w:eastAsia="宋体" w:cs="Times New Roman"/>
          <w:color w:val="auto"/>
          <w:sz w:val="21"/>
          <w:szCs w:val="21"/>
          <w:highlight w:val="none"/>
          <w:lang w:val="en-US" w:eastAsia="zh-CN"/>
        </w:rPr>
        <w:t>，比选人提供的</w:t>
      </w:r>
      <w:r>
        <w:rPr>
          <w:rFonts w:hint="eastAsia" w:ascii="Times New Roman" w:hAnsi="Times New Roman" w:eastAsia="宋体" w:cs="Times New Roman"/>
          <w:color w:val="auto"/>
          <w:sz w:val="21"/>
          <w:szCs w:val="21"/>
          <w:highlight w:val="none"/>
          <w:u w:val="single"/>
          <w:lang w:val="en-US" w:eastAsia="zh-CN"/>
        </w:rPr>
        <w:t xml:space="preserve"> </w:t>
      </w:r>
      <w:r>
        <w:rPr>
          <w:rFonts w:hint="eastAsia"/>
          <w:color w:val="auto"/>
          <w:sz w:val="21"/>
          <w:szCs w:val="21"/>
          <w:highlight w:val="none"/>
          <w:u w:val="single"/>
          <w:lang w:val="en-US" w:eastAsia="zh-CN"/>
        </w:rPr>
        <w:t>蚩尤九黎城东城门至九黎酒店供水管道改道项目（劳务分包）</w:t>
      </w:r>
      <w:r>
        <w:rPr>
          <w:rFonts w:hint="eastAsia" w:ascii="Times New Roman" w:hAnsi="Times New Roman" w:eastAsia="宋体" w:cs="Times New Roman"/>
          <w:color w:val="auto"/>
          <w:sz w:val="21"/>
          <w:szCs w:val="21"/>
          <w:highlight w:val="none"/>
          <w:lang w:val="en-US" w:eastAsia="zh-CN"/>
        </w:rPr>
        <w:t>所包含全部工程内容的劳务及辅助材料，具体以比选人提供的工程量清单及图纸为准</w:t>
      </w:r>
      <w:r>
        <w:rPr>
          <w:rFonts w:hint="eastAsia" w:cs="Times New Roman"/>
          <w:color w:val="auto"/>
          <w:sz w:val="21"/>
          <w:szCs w:val="21"/>
          <w:highlight w:val="none"/>
          <w:lang w:val="en-US" w:eastAsia="zh-CN"/>
        </w:rPr>
        <w:t>（包含甲供材料）</w:t>
      </w:r>
      <w:r>
        <w:rPr>
          <w:rFonts w:hint="eastAsia" w:ascii="Times New Roman" w:hAnsi="Times New Roman" w:eastAsia="宋体" w:cs="Times New Roman"/>
          <w:color w:val="auto"/>
          <w:sz w:val="21"/>
          <w:szCs w:val="21"/>
          <w:highlight w:val="none"/>
          <w:lang w:val="en-US" w:eastAsia="zh-CN"/>
        </w:rPr>
        <w:t>。</w:t>
      </w:r>
    </w:p>
    <w:p w14:paraId="3CDF23D8">
      <w:pPr>
        <w:pStyle w:val="8"/>
        <w:keepNext w:val="0"/>
        <w:keepLines w:val="0"/>
        <w:pageBreakBefore w:val="0"/>
        <w:kinsoku/>
        <w:wordWrap/>
        <w:overflowPunct/>
        <w:topLinePunct w:val="0"/>
        <w:autoSpaceDE/>
        <w:autoSpaceDN/>
        <w:bidi w:val="0"/>
        <w:adjustRightInd/>
        <w:snapToGrid/>
        <w:spacing w:before="27" w:line="500" w:lineRule="exact"/>
        <w:rPr>
          <w:color w:val="auto"/>
          <w:sz w:val="21"/>
          <w:szCs w:val="21"/>
          <w:highlight w:val="none"/>
        </w:rPr>
      </w:pPr>
      <w:r>
        <w:rPr>
          <w:color w:val="auto"/>
          <w:sz w:val="21"/>
          <w:szCs w:val="21"/>
          <w:highlight w:val="none"/>
        </w:rPr>
        <w:t>三、合同工期</w:t>
      </w:r>
    </w:p>
    <w:p w14:paraId="6ECE3E2E">
      <w:pPr>
        <w:pStyle w:val="2"/>
        <w:keepNext w:val="0"/>
        <w:keepLines w:val="0"/>
        <w:pageBreakBefore w:val="0"/>
        <w:tabs>
          <w:tab w:val="left" w:pos="5591"/>
        </w:tabs>
        <w:kinsoku/>
        <w:wordWrap/>
        <w:overflowPunct/>
        <w:topLinePunct w:val="0"/>
        <w:autoSpaceDE/>
        <w:autoSpaceDN/>
        <w:bidi w:val="0"/>
        <w:adjustRightInd/>
        <w:snapToGrid/>
        <w:spacing w:line="500" w:lineRule="exact"/>
        <w:ind w:left="552"/>
        <w:rPr>
          <w:color w:val="auto"/>
          <w:sz w:val="21"/>
          <w:szCs w:val="21"/>
          <w:highlight w:val="none"/>
        </w:rPr>
      </w:pPr>
      <w:r>
        <w:rPr>
          <w:color w:val="auto"/>
          <w:sz w:val="21"/>
          <w:szCs w:val="21"/>
          <w:highlight w:val="none"/>
        </w:rPr>
        <w:t>本合同工期：</w:t>
      </w:r>
      <w:r>
        <w:rPr>
          <w:color w:val="auto"/>
          <w:spacing w:val="99"/>
          <w:sz w:val="21"/>
          <w:szCs w:val="21"/>
          <w:highlight w:val="none"/>
          <w:u w:val="single"/>
        </w:rPr>
        <w:t xml:space="preserve"> </w:t>
      </w:r>
      <w:r>
        <w:rPr>
          <w:rFonts w:hint="eastAsia"/>
          <w:color w:val="auto"/>
          <w:spacing w:val="99"/>
          <w:sz w:val="21"/>
          <w:szCs w:val="21"/>
          <w:highlight w:val="none"/>
          <w:u w:val="single"/>
        </w:rPr>
        <w:t xml:space="preserve">  </w:t>
      </w:r>
      <w:r>
        <w:rPr>
          <w:color w:val="auto"/>
          <w:sz w:val="21"/>
          <w:szCs w:val="21"/>
          <w:highlight w:val="none"/>
          <w:u w:val="single"/>
        </w:rPr>
        <w:tab/>
      </w:r>
      <w:r>
        <w:rPr>
          <w:color w:val="auto"/>
          <w:sz w:val="21"/>
          <w:szCs w:val="21"/>
          <w:highlight w:val="none"/>
        </w:rPr>
        <w:t>。</w:t>
      </w:r>
    </w:p>
    <w:p w14:paraId="15BC19B5">
      <w:pPr>
        <w:pStyle w:val="8"/>
        <w:keepNext w:val="0"/>
        <w:keepLines w:val="0"/>
        <w:pageBreakBefore w:val="0"/>
        <w:numPr>
          <w:ilvl w:val="0"/>
          <w:numId w:val="5"/>
        </w:numPr>
        <w:kinsoku/>
        <w:wordWrap/>
        <w:overflowPunct/>
        <w:topLinePunct w:val="0"/>
        <w:autoSpaceDE/>
        <w:autoSpaceDN/>
        <w:bidi w:val="0"/>
        <w:adjustRightInd/>
        <w:snapToGrid/>
        <w:spacing w:before="1" w:line="500" w:lineRule="exact"/>
        <w:rPr>
          <w:color w:val="auto"/>
          <w:sz w:val="21"/>
          <w:szCs w:val="21"/>
          <w:highlight w:val="none"/>
        </w:rPr>
      </w:pPr>
      <w:r>
        <w:rPr>
          <w:color w:val="auto"/>
          <w:sz w:val="21"/>
          <w:szCs w:val="21"/>
          <w:highlight w:val="none"/>
        </w:rPr>
        <w:t>合同价款</w:t>
      </w:r>
    </w:p>
    <w:p w14:paraId="4AD504D6">
      <w:pPr>
        <w:keepNext w:val="0"/>
        <w:keepLines w:val="0"/>
        <w:pageBreakBefore w:val="0"/>
        <w:kinsoku/>
        <w:wordWrap/>
        <w:overflowPunct/>
        <w:topLinePunct w:val="0"/>
        <w:autoSpaceDE/>
        <w:autoSpaceDN/>
        <w:bidi w:val="0"/>
        <w:spacing w:line="348"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1.承包人</w:t>
      </w:r>
      <w:r>
        <w:rPr>
          <w:rFonts w:hint="eastAsia" w:ascii="宋体" w:hAnsi="宋体"/>
          <w:color w:val="auto"/>
          <w:sz w:val="21"/>
          <w:szCs w:val="21"/>
          <w:highlight w:val="none"/>
          <w:lang w:eastAsia="zh-CN"/>
        </w:rPr>
        <w:t>竞选函</w:t>
      </w:r>
      <w:r>
        <w:rPr>
          <w:rFonts w:hint="eastAsia" w:ascii="宋体" w:hAnsi="宋体"/>
          <w:color w:val="auto"/>
          <w:sz w:val="21"/>
          <w:szCs w:val="21"/>
          <w:highlight w:val="none"/>
        </w:rPr>
        <w:t>中承诺的中</w:t>
      </w:r>
      <w:r>
        <w:rPr>
          <w:rFonts w:hint="eastAsia" w:ascii="宋体" w:hAnsi="宋体"/>
          <w:color w:val="auto"/>
          <w:sz w:val="21"/>
          <w:szCs w:val="21"/>
          <w:highlight w:val="none"/>
          <w:lang w:eastAsia="zh-CN"/>
        </w:rPr>
        <w:t>选</w:t>
      </w:r>
      <w:r>
        <w:rPr>
          <w:rFonts w:hint="eastAsia" w:ascii="宋体" w:hAnsi="宋体"/>
          <w:color w:val="auto"/>
          <w:sz w:val="21"/>
          <w:szCs w:val="21"/>
          <w:highlight w:val="none"/>
        </w:rPr>
        <w:t>价为：</w:t>
      </w:r>
    </w:p>
    <w:p w14:paraId="382F530A">
      <w:pPr>
        <w:keepNext w:val="0"/>
        <w:keepLines w:val="0"/>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人民币（大写）</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含甲供材及其他</w:t>
      </w:r>
      <w:bookmarkStart w:id="73" w:name="_GoBack"/>
      <w:bookmarkEnd w:id="73"/>
      <w:r>
        <w:rPr>
          <w:rFonts w:hint="eastAsia" w:ascii="宋体" w:hAnsi="宋体"/>
          <w:color w:val="auto"/>
          <w:sz w:val="21"/>
          <w:szCs w:val="21"/>
          <w:highlight w:val="none"/>
          <w:lang w:val="en-US" w:eastAsia="zh-CN"/>
        </w:rPr>
        <w:t>）</w:t>
      </w:r>
    </w:p>
    <w:p w14:paraId="1D13ED84">
      <w:pPr>
        <w:keepNext w:val="0"/>
        <w:keepLines w:val="0"/>
        <w:pageBreakBefore w:val="0"/>
        <w:kinsoku/>
        <w:wordWrap/>
        <w:overflowPunct/>
        <w:topLinePunct w:val="0"/>
        <w:autoSpaceDE/>
        <w:autoSpaceDN/>
        <w:bidi w:val="0"/>
        <w:spacing w:line="348"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2.签约合同价为：</w:t>
      </w:r>
    </w:p>
    <w:p w14:paraId="377011CA">
      <w:pPr>
        <w:keepNext w:val="0"/>
        <w:keepLines w:val="0"/>
        <w:pageBreakBefore w:val="0"/>
        <w:kinsoku/>
        <w:wordWrap/>
        <w:overflowPunct/>
        <w:topLinePunct w:val="0"/>
        <w:autoSpaceDE/>
        <w:autoSpaceDN/>
        <w:bidi w:val="0"/>
        <w:snapToGrid w:val="0"/>
        <w:spacing w:line="348"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人民币（大写）</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含甲供材及其他）</w:t>
      </w:r>
    </w:p>
    <w:p w14:paraId="7A2A4545">
      <w:pPr>
        <w:numPr>
          <w:ilvl w:val="0"/>
          <w:numId w:val="0"/>
        </w:numPr>
        <w:ind w:firstLine="420" w:firstLineChars="200"/>
        <w:rPr>
          <w:sz w:val="21"/>
          <w:szCs w:val="21"/>
          <w:highlight w:val="none"/>
        </w:rPr>
      </w:pPr>
      <w:r>
        <w:rPr>
          <w:rFonts w:hint="eastAsia" w:ascii="宋体" w:hAnsi="宋体"/>
          <w:color w:val="auto"/>
          <w:sz w:val="21"/>
          <w:szCs w:val="21"/>
          <w:highlight w:val="none"/>
        </w:rPr>
        <w:t>3.合同价格形式：</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单价</w:t>
      </w:r>
      <w:r>
        <w:rPr>
          <w:rFonts w:ascii="宋体" w:hAnsi="宋体"/>
          <w:color w:val="auto"/>
          <w:sz w:val="21"/>
          <w:szCs w:val="21"/>
          <w:highlight w:val="none"/>
          <w:u w:val="single"/>
        </w:rPr>
        <w:t>合同</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w:t>
      </w:r>
    </w:p>
    <w:p w14:paraId="4AEC2D46">
      <w:pPr>
        <w:pStyle w:val="8"/>
        <w:keepNext w:val="0"/>
        <w:keepLines w:val="0"/>
        <w:pageBreakBefore w:val="0"/>
        <w:numPr>
          <w:ilvl w:val="0"/>
          <w:numId w:val="6"/>
        </w:numPr>
        <w:kinsoku/>
        <w:wordWrap/>
        <w:overflowPunct/>
        <w:topLinePunct w:val="0"/>
        <w:autoSpaceDE/>
        <w:autoSpaceDN/>
        <w:bidi w:val="0"/>
        <w:adjustRightInd/>
        <w:snapToGrid/>
        <w:spacing w:line="500" w:lineRule="exact"/>
        <w:rPr>
          <w:color w:val="auto"/>
          <w:sz w:val="21"/>
          <w:szCs w:val="21"/>
          <w:highlight w:val="none"/>
        </w:rPr>
      </w:pPr>
      <w:r>
        <w:rPr>
          <w:color w:val="auto"/>
          <w:sz w:val="21"/>
          <w:szCs w:val="21"/>
          <w:highlight w:val="none"/>
        </w:rPr>
        <w:t>工程价款结算原则</w:t>
      </w:r>
    </w:p>
    <w:p w14:paraId="54A09D68">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840" w:firstLineChars="400"/>
        <w:textAlignment w:val="baseline"/>
        <w:rPr>
          <w:rFonts w:hint="eastAsia"/>
          <w:color w:val="auto"/>
          <w:highlight w:val="none"/>
          <w:lang w:val="en-US" w:eastAsia="zh-CN"/>
        </w:rPr>
      </w:pPr>
      <w:r>
        <w:rPr>
          <w:rFonts w:hint="eastAsia"/>
          <w:color w:val="auto"/>
          <w:highlight w:val="none"/>
          <w:lang w:val="en-US" w:eastAsia="zh-CN"/>
        </w:rPr>
        <w:t>1、</w:t>
      </w:r>
      <w:r>
        <w:rPr>
          <w:rFonts w:hint="eastAsia"/>
          <w:color w:val="auto"/>
          <w:highlight w:val="none"/>
        </w:rPr>
        <w:t>本</w:t>
      </w:r>
      <w:r>
        <w:rPr>
          <w:rFonts w:hint="eastAsia"/>
          <w:color w:val="auto"/>
          <w:highlight w:val="none"/>
          <w:lang w:val="en-US" w:eastAsia="zh-CN"/>
        </w:rPr>
        <w:t>工程计价形式：</w:t>
      </w:r>
    </w:p>
    <w:p w14:paraId="596B6C29">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30" w:firstLineChars="300"/>
        <w:textAlignment w:val="baseline"/>
        <w:rPr>
          <w:rFonts w:hint="eastAsia"/>
          <w:color w:val="auto"/>
          <w:highlight w:val="none"/>
        </w:rPr>
      </w:pPr>
      <w:r>
        <w:rPr>
          <w:rFonts w:hint="eastAsia"/>
          <w:color w:val="auto"/>
          <w:highlight w:val="none"/>
          <w:lang w:val="en-US" w:eastAsia="zh-CN"/>
        </w:rPr>
        <w:t>（1）</w:t>
      </w:r>
      <w:r>
        <w:rPr>
          <w:rFonts w:hint="eastAsia"/>
          <w:color w:val="auto"/>
          <w:highlight w:val="none"/>
        </w:rPr>
        <w:t>采用</w:t>
      </w:r>
      <w:r>
        <w:rPr>
          <w:rFonts w:hint="eastAsia"/>
          <w:color w:val="auto"/>
          <w:highlight w:val="none"/>
          <w:lang w:val="en-US" w:eastAsia="zh-CN"/>
        </w:rPr>
        <w:t>定额</w:t>
      </w:r>
      <w:r>
        <w:rPr>
          <w:rFonts w:hint="eastAsia"/>
          <w:color w:val="auto"/>
          <w:highlight w:val="none"/>
        </w:rPr>
        <w:t>计价</w:t>
      </w:r>
      <w:r>
        <w:rPr>
          <w:rFonts w:hint="eastAsia"/>
          <w:color w:val="auto"/>
          <w:highlight w:val="none"/>
          <w:lang w:eastAsia="zh-CN"/>
        </w:rPr>
        <w:t>，投标人的</w:t>
      </w:r>
      <w:r>
        <w:rPr>
          <w:rFonts w:hint="eastAsia"/>
          <w:color w:val="auto"/>
          <w:highlight w:val="none"/>
          <w:lang w:val="en-US" w:eastAsia="zh-CN"/>
        </w:rPr>
        <w:t>定额计</w:t>
      </w:r>
      <w:r>
        <w:rPr>
          <w:rFonts w:hint="eastAsia"/>
          <w:color w:val="auto"/>
          <w:highlight w:val="none"/>
        </w:rPr>
        <w:t>价</w:t>
      </w:r>
      <w:r>
        <w:rPr>
          <w:rFonts w:hint="eastAsia"/>
          <w:color w:val="auto"/>
          <w:highlight w:val="none"/>
          <w:lang w:eastAsia="zh-CN"/>
        </w:rPr>
        <w:t>的</w:t>
      </w:r>
      <w:r>
        <w:rPr>
          <w:rFonts w:hint="eastAsia"/>
          <w:color w:val="auto"/>
          <w:highlight w:val="none"/>
          <w:lang w:val="en-US" w:eastAsia="zh-CN"/>
        </w:rPr>
        <w:t>总价</w:t>
      </w:r>
      <w:r>
        <w:rPr>
          <w:rFonts w:hint="eastAsia"/>
          <w:color w:val="auto"/>
          <w:highlight w:val="none"/>
          <w:lang w:eastAsia="zh-CN"/>
        </w:rPr>
        <w:t>包括完成招标范围内工程项目的人工费、 材料费、机械费、试验费、企业管理费、利润、风险费、措施费、规费、安全文明施工费、税金及政策性文件规定的所有费用、</w:t>
      </w:r>
      <w:r>
        <w:rPr>
          <w:rFonts w:hint="eastAsia"/>
          <w:color w:val="auto"/>
          <w:highlight w:val="none"/>
          <w:lang w:val="zh-CN"/>
        </w:rPr>
        <w:t>市场价格波动风险</w:t>
      </w:r>
      <w:r>
        <w:rPr>
          <w:rFonts w:hint="eastAsia"/>
          <w:color w:val="auto"/>
          <w:highlight w:val="none"/>
          <w:lang w:eastAsia="zh-CN"/>
        </w:rPr>
        <w:t>，以及项目所在地建设行政主管部门要求的智慧工地管理费，施工和竣工交付阶段的相关费用</w:t>
      </w:r>
      <w:r>
        <w:rPr>
          <w:rFonts w:hint="eastAsia"/>
          <w:color w:val="auto"/>
          <w:highlight w:val="none"/>
          <w:lang w:val="en-US" w:eastAsia="zh-CN"/>
        </w:rPr>
        <w:t>和</w:t>
      </w:r>
      <w:r>
        <w:rPr>
          <w:rFonts w:hint="eastAsia"/>
          <w:color w:val="auto"/>
          <w:highlight w:val="none"/>
          <w:lang w:val="zh-CN"/>
        </w:rPr>
        <w:t>比选文件和合同明示或暗示的应由承包人承担的所有责任、义务和风险等所需的一切费用。</w:t>
      </w:r>
    </w:p>
    <w:p w14:paraId="691D62A8">
      <w:pPr>
        <w:keepNext w:val="0"/>
        <w:keepLines w:val="0"/>
        <w:pageBreakBefore w:val="0"/>
        <w:widowControl/>
        <w:kinsoku/>
        <w:wordWrap/>
        <w:overflowPunct/>
        <w:topLinePunct w:val="0"/>
        <w:autoSpaceDE/>
        <w:autoSpaceDN/>
        <w:bidi w:val="0"/>
        <w:adjustRightInd/>
        <w:snapToGrid/>
        <w:spacing w:line="500" w:lineRule="exact"/>
        <w:ind w:firstLine="630" w:firstLineChars="300"/>
        <w:textAlignment w:val="baseline"/>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竞选人应根据</w:t>
      </w:r>
      <w:r>
        <w:rPr>
          <w:rFonts w:hint="eastAsia" w:ascii="宋体" w:hAnsi="宋体" w:eastAsia="宋体" w:cs="宋体"/>
          <w:color w:val="auto"/>
          <w:highlight w:val="none"/>
          <w:lang w:val="en-US" w:eastAsia="zh-CN"/>
        </w:rPr>
        <w:t>《建设工程工程量清单计价规范》（GB50500-2013）、</w:t>
      </w:r>
      <w:r>
        <w:rPr>
          <w:rFonts w:hint="eastAsia"/>
          <w:color w:val="auto"/>
          <w:highlight w:val="none"/>
        </w:rPr>
        <w:t>《重庆市</w:t>
      </w:r>
      <w:r>
        <w:rPr>
          <w:rFonts w:hint="eastAsia"/>
          <w:color w:val="auto"/>
          <w:highlight w:val="none"/>
          <w:lang w:val="en-US" w:eastAsia="zh-CN"/>
        </w:rPr>
        <w:t>市政</w:t>
      </w:r>
      <w:r>
        <w:rPr>
          <w:rFonts w:hint="eastAsia"/>
          <w:color w:val="auto"/>
          <w:highlight w:val="none"/>
        </w:rPr>
        <w:t>工程计价定额》</w:t>
      </w:r>
      <w:r>
        <w:rPr>
          <w:rFonts w:hint="eastAsia"/>
          <w:color w:val="auto"/>
          <w:highlight w:val="none"/>
          <w:lang w:val="en-US" w:eastAsia="zh-CN"/>
        </w:rPr>
        <w:t>CQSZDE-</w:t>
      </w:r>
      <w:r>
        <w:rPr>
          <w:rFonts w:hint="eastAsia"/>
          <w:color w:val="auto"/>
          <w:highlight w:val="none"/>
        </w:rPr>
        <w:t>2018、《重庆市</w:t>
      </w:r>
      <w:r>
        <w:rPr>
          <w:rFonts w:hint="eastAsia"/>
          <w:color w:val="auto"/>
          <w:highlight w:val="none"/>
          <w:lang w:val="en-US" w:eastAsia="zh-CN"/>
        </w:rPr>
        <w:t>房屋</w:t>
      </w:r>
      <w:r>
        <w:rPr>
          <w:rFonts w:hint="eastAsia"/>
          <w:color w:val="auto"/>
          <w:highlight w:val="none"/>
        </w:rPr>
        <w:t>建筑</w:t>
      </w:r>
      <w:r>
        <w:rPr>
          <w:rFonts w:hint="eastAsia"/>
          <w:color w:val="auto"/>
          <w:highlight w:val="none"/>
          <w:lang w:val="en-US" w:eastAsia="zh-CN"/>
        </w:rPr>
        <w:t>与装饰</w:t>
      </w:r>
      <w:r>
        <w:rPr>
          <w:rFonts w:hint="eastAsia"/>
          <w:color w:val="auto"/>
          <w:highlight w:val="none"/>
        </w:rPr>
        <w:t>工程计价定额》</w:t>
      </w:r>
      <w:r>
        <w:rPr>
          <w:rFonts w:hint="eastAsia"/>
          <w:color w:val="auto"/>
          <w:highlight w:val="none"/>
          <w:lang w:val="en-US" w:eastAsia="zh-CN"/>
        </w:rPr>
        <w:t>CQJZZSDE-</w:t>
      </w:r>
      <w:r>
        <w:rPr>
          <w:rFonts w:hint="eastAsia"/>
          <w:color w:val="auto"/>
          <w:highlight w:val="none"/>
        </w:rPr>
        <w:t>2018、《重庆市</w:t>
      </w:r>
      <w:r>
        <w:rPr>
          <w:rFonts w:hint="eastAsia"/>
          <w:color w:val="auto"/>
          <w:highlight w:val="none"/>
          <w:lang w:val="en-US" w:eastAsia="zh-CN"/>
        </w:rPr>
        <w:t>通用安装</w:t>
      </w:r>
      <w:r>
        <w:rPr>
          <w:rFonts w:hint="eastAsia"/>
          <w:color w:val="auto"/>
          <w:highlight w:val="none"/>
        </w:rPr>
        <w:t>工程计价定额》</w:t>
      </w:r>
      <w:r>
        <w:rPr>
          <w:rFonts w:hint="eastAsia"/>
          <w:color w:val="auto"/>
          <w:highlight w:val="none"/>
          <w:lang w:val="en-US" w:eastAsia="zh-CN"/>
        </w:rPr>
        <w:t>CQTYAZDE-</w:t>
      </w:r>
      <w:r>
        <w:rPr>
          <w:rFonts w:hint="eastAsia"/>
          <w:color w:val="auto"/>
          <w:highlight w:val="none"/>
        </w:rPr>
        <w:t>2018、《重庆市</w:t>
      </w:r>
      <w:r>
        <w:rPr>
          <w:rFonts w:hint="eastAsia"/>
          <w:color w:val="auto"/>
          <w:highlight w:val="none"/>
          <w:lang w:val="en-US" w:eastAsia="zh-CN"/>
        </w:rPr>
        <w:t>房屋修缮</w:t>
      </w:r>
      <w:r>
        <w:rPr>
          <w:rFonts w:hint="eastAsia"/>
          <w:color w:val="auto"/>
          <w:highlight w:val="none"/>
        </w:rPr>
        <w:t>工程计价定额》</w:t>
      </w:r>
      <w:r>
        <w:rPr>
          <w:rFonts w:hint="eastAsia"/>
          <w:color w:val="auto"/>
          <w:highlight w:val="none"/>
          <w:lang w:val="en-US" w:eastAsia="zh-CN"/>
        </w:rPr>
        <w:t>CQFWXSDE-</w:t>
      </w:r>
      <w:r>
        <w:rPr>
          <w:rFonts w:hint="eastAsia"/>
          <w:color w:val="auto"/>
          <w:highlight w:val="none"/>
        </w:rPr>
        <w:t>2018</w:t>
      </w:r>
      <w:r>
        <w:rPr>
          <w:rFonts w:hint="eastAsia"/>
          <w:color w:val="auto"/>
          <w:highlight w:val="none"/>
          <w:lang w:eastAsia="zh-CN"/>
        </w:rPr>
        <w:t>、</w:t>
      </w:r>
      <w:r>
        <w:rPr>
          <w:rFonts w:hint="eastAsia"/>
          <w:color w:val="auto"/>
          <w:highlight w:val="none"/>
        </w:rPr>
        <w:t>《重庆市建设工程费用定额》</w:t>
      </w:r>
      <w:r>
        <w:rPr>
          <w:rFonts w:hint="eastAsia"/>
          <w:color w:val="auto"/>
          <w:highlight w:val="none"/>
          <w:lang w:val="en-US" w:eastAsia="zh-CN"/>
        </w:rPr>
        <w:t>CQJSGCFYDE-</w:t>
      </w:r>
      <w:r>
        <w:rPr>
          <w:rFonts w:hint="eastAsia"/>
          <w:color w:val="auto"/>
          <w:highlight w:val="none"/>
        </w:rPr>
        <w:t>2018</w:t>
      </w:r>
      <w:r>
        <w:rPr>
          <w:rFonts w:hint="eastAsia"/>
          <w:color w:val="auto"/>
          <w:highlight w:val="none"/>
          <w:lang w:val="en-US" w:eastAsia="zh-CN"/>
        </w:rPr>
        <w:t>等相关定额进行编制及</w:t>
      </w:r>
      <w:r>
        <w:rPr>
          <w:rFonts w:hint="eastAsia"/>
          <w:color w:val="auto"/>
          <w:highlight w:val="none"/>
        </w:rPr>
        <w:t>《重庆市住房和城乡建设委员会关于适用增值税新税率调整建设工程计价依据的通知》（渝建〔2019〕143 号）</w:t>
      </w:r>
      <w:r>
        <w:rPr>
          <w:rFonts w:hint="eastAsia"/>
          <w:color w:val="auto"/>
          <w:highlight w:val="none"/>
          <w:lang w:val="en-US" w:eastAsia="zh-CN"/>
        </w:rPr>
        <w:t>进行结算编制</w:t>
      </w:r>
      <w:r>
        <w:rPr>
          <w:rFonts w:hint="eastAsia"/>
          <w:color w:val="auto"/>
          <w:highlight w:val="none"/>
          <w:lang w:eastAsia="zh-CN"/>
        </w:rPr>
        <w:t>。</w:t>
      </w:r>
    </w:p>
    <w:p w14:paraId="3A0BD825">
      <w:pPr>
        <w:keepNext w:val="0"/>
        <w:keepLines w:val="0"/>
        <w:pageBreakBefore w:val="0"/>
        <w:widowControl/>
        <w:kinsoku/>
        <w:wordWrap/>
        <w:overflowPunct/>
        <w:topLinePunct w:val="0"/>
        <w:autoSpaceDE/>
        <w:autoSpaceDN/>
        <w:bidi w:val="0"/>
        <w:adjustRightInd/>
        <w:snapToGrid/>
        <w:spacing w:line="500" w:lineRule="exact"/>
        <w:ind w:firstLine="630" w:firstLineChars="300"/>
        <w:textAlignment w:val="baseline"/>
        <w:rPr>
          <w:rFonts w:hint="default"/>
          <w:color w:val="auto"/>
          <w:highlight w:val="none"/>
          <w:lang w:val="en-US" w:eastAsia="zh-CN"/>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lang w:val="en-US" w:eastAsia="zh-CN"/>
        </w:rPr>
        <w:t>本</w:t>
      </w:r>
      <w:r>
        <w:rPr>
          <w:rFonts w:hint="eastAsia"/>
          <w:color w:val="auto"/>
          <w:highlight w:val="none"/>
          <w:lang w:eastAsia="zh-CN"/>
        </w:rPr>
        <w:t>工程所需</w:t>
      </w:r>
      <w:r>
        <w:rPr>
          <w:rFonts w:hint="eastAsia" w:ascii="宋体" w:hAnsi="宋体" w:cs="宋体"/>
          <w:color w:val="auto"/>
          <w:kern w:val="0"/>
          <w:sz w:val="21"/>
          <w:szCs w:val="21"/>
          <w:highlight w:val="none"/>
          <w:lang w:val="en-US" w:eastAsia="zh-CN"/>
        </w:rPr>
        <w:t>劳务和辅助材料</w:t>
      </w:r>
      <w:r>
        <w:rPr>
          <w:rFonts w:hint="eastAsia"/>
          <w:color w:val="auto"/>
          <w:highlight w:val="none"/>
          <w:lang w:eastAsia="zh-CN"/>
        </w:rPr>
        <w:t>价格由投标人参照重庆市建设工程造价管理总站发布的《重庆工程造价信息》或工程造价管理机构发布的工程造价信息</w:t>
      </w:r>
      <w:r>
        <w:rPr>
          <w:rFonts w:hint="eastAsia"/>
          <w:color w:val="auto"/>
          <w:highlight w:val="none"/>
          <w:lang w:val="en-US" w:eastAsia="zh-CN"/>
        </w:rPr>
        <w:t>执行；如造价信息没有的辅助材料价格，由乙方申报后由甲方审定，作结算单价。</w:t>
      </w:r>
    </w:p>
    <w:p w14:paraId="0D80BB9D">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baseline"/>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）本</w:t>
      </w:r>
      <w:r>
        <w:rPr>
          <w:rFonts w:hint="eastAsia"/>
          <w:color w:val="auto"/>
          <w:highlight w:val="none"/>
          <w:lang w:val="en-US" w:eastAsia="zh-CN"/>
        </w:rPr>
        <w:t>工程</w:t>
      </w:r>
      <w:r>
        <w:rPr>
          <w:rFonts w:hint="eastAsia"/>
          <w:color w:val="auto"/>
          <w:highlight w:val="none"/>
          <w:lang w:eastAsia="zh-CN"/>
        </w:rPr>
        <w:t>所采用技术、工艺和产品等必须执行重庆市住房和城乡建设委员会关于发布《重庆市建设领域禁止、限制使用落后技术通告（2019 年版）（渝建发〔2019〕25 号）的规定。</w:t>
      </w:r>
    </w:p>
    <w:p w14:paraId="6925B86D">
      <w:pPr>
        <w:pStyle w:val="2"/>
        <w:keepNext w:val="0"/>
        <w:keepLines w:val="0"/>
        <w:pageBreakBefore w:val="0"/>
        <w:widowControl w:val="0"/>
        <w:kinsoku/>
        <w:wordWrap/>
        <w:overflowPunct/>
        <w:topLinePunct w:val="0"/>
        <w:autoSpaceDE/>
        <w:autoSpaceDN/>
        <w:bidi w:val="0"/>
        <w:adjustRightInd/>
        <w:snapToGrid/>
        <w:spacing w:line="500" w:lineRule="exact"/>
        <w:ind w:firstLine="260" w:firstLineChars="100"/>
        <w:textAlignment w:val="auto"/>
        <w:rPr>
          <w:rFonts w:hint="eastAsia" w:ascii="Malgun Gothic Semilight" w:hAnsi="Malgun Gothic Semilight" w:eastAsia="Malgun Gothic Semilight" w:cs="Malgun Gothic Semilight"/>
          <w:color w:val="auto"/>
          <w:sz w:val="21"/>
          <w:szCs w:val="21"/>
          <w:highlight w:val="none"/>
          <w:lang w:eastAsia="zh-CN"/>
        </w:rPr>
      </w:pPr>
      <w:r>
        <w:rPr>
          <w:rFonts w:hint="eastAsia" w:ascii="Malgun Gothic Semilight" w:hAnsi="Malgun Gothic Semilight" w:eastAsia="Malgun Gothic Semilight" w:cs="Malgun Gothic Semilight"/>
          <w:color w:val="auto"/>
          <w:highlight w:val="none"/>
          <w:lang w:eastAsia="zh-CN"/>
        </w:rPr>
        <w:t>（</w:t>
      </w:r>
      <w:r>
        <w:rPr>
          <w:rFonts w:hint="eastAsia" w:ascii="Malgun Gothic Semilight" w:hAnsi="Malgun Gothic Semilight" w:eastAsia="Malgun Gothic Semilight" w:cs="Malgun Gothic Semilight"/>
          <w:color w:val="auto"/>
          <w:sz w:val="21"/>
          <w:szCs w:val="21"/>
          <w:highlight w:val="none"/>
          <w:lang w:val="en-US" w:eastAsia="zh-CN"/>
        </w:rPr>
        <w:t>5</w:t>
      </w:r>
      <w:r>
        <w:rPr>
          <w:rFonts w:hint="eastAsia" w:ascii="Malgun Gothic Semilight" w:hAnsi="Malgun Gothic Semilight" w:eastAsia="Malgun Gothic Semilight" w:cs="Malgun Gothic Semilight"/>
          <w:color w:val="auto"/>
          <w:sz w:val="21"/>
          <w:szCs w:val="21"/>
          <w:highlight w:val="none"/>
          <w:lang w:eastAsia="zh-CN"/>
        </w:rPr>
        <w:t>）</w:t>
      </w:r>
      <w:r>
        <w:rPr>
          <w:rFonts w:hint="eastAsia" w:ascii="Malgun Gothic Semilight" w:hAnsi="Malgun Gothic Semilight" w:eastAsia="Malgun Gothic Semilight" w:cs="Malgun Gothic Semilight"/>
          <w:color w:val="auto"/>
          <w:sz w:val="21"/>
          <w:szCs w:val="21"/>
          <w:highlight w:val="none"/>
        </w:rPr>
        <w:t>竞选人须自行综合考虑所有材料及成品的运达地点、二次转运运距，比选人发布的限价中已综合考虑二次转运所产生的一切费用，无论二次转运</w:t>
      </w:r>
      <w:r>
        <w:rPr>
          <w:rFonts w:hint="eastAsia" w:ascii="Malgun Gothic Semilight" w:hAnsi="Malgun Gothic Semilight" w:eastAsia="Malgun Gothic Semilight" w:cs="Malgun Gothic Semilight"/>
          <w:color w:val="auto"/>
          <w:sz w:val="21"/>
          <w:szCs w:val="21"/>
          <w:highlight w:val="none"/>
          <w:lang w:val="en-US" w:eastAsia="zh-CN"/>
        </w:rPr>
        <w:t>采用何种方式或</w:t>
      </w:r>
      <w:r>
        <w:rPr>
          <w:rFonts w:hint="eastAsia" w:ascii="Malgun Gothic Semilight" w:hAnsi="Malgun Gothic Semilight" w:eastAsia="Malgun Gothic Semilight" w:cs="Malgun Gothic Semilight"/>
          <w:color w:val="auto"/>
          <w:sz w:val="21"/>
          <w:szCs w:val="21"/>
          <w:highlight w:val="none"/>
        </w:rPr>
        <w:t>运距远近，其费用均已包含在竞选人的</w:t>
      </w:r>
      <w:r>
        <w:rPr>
          <w:rFonts w:hint="eastAsia" w:ascii="Malgun Gothic Semilight" w:hAnsi="Malgun Gothic Semilight" w:eastAsia="Malgun Gothic Semilight" w:cs="Malgun Gothic Semilight"/>
          <w:color w:val="auto"/>
          <w:sz w:val="21"/>
          <w:szCs w:val="21"/>
          <w:highlight w:val="none"/>
          <w:lang w:val="en-US" w:eastAsia="zh-CN"/>
        </w:rPr>
        <w:t>工程量清单单价（总报价）报价</w:t>
      </w:r>
      <w:r>
        <w:rPr>
          <w:rFonts w:hint="eastAsia" w:ascii="Malgun Gothic Semilight" w:hAnsi="Malgun Gothic Semilight" w:eastAsia="Malgun Gothic Semilight" w:cs="Malgun Gothic Semilight"/>
          <w:color w:val="auto"/>
          <w:sz w:val="21"/>
          <w:szCs w:val="21"/>
          <w:highlight w:val="none"/>
        </w:rPr>
        <w:t>中。</w:t>
      </w:r>
    </w:p>
    <w:p w14:paraId="32D2266F">
      <w:pPr>
        <w:pStyle w:val="2"/>
        <w:keepNext w:val="0"/>
        <w:keepLines w:val="0"/>
        <w:pageBreakBefore w:val="0"/>
        <w:kinsoku/>
        <w:wordWrap/>
        <w:overflowPunct/>
        <w:topLinePunct w:val="0"/>
        <w:autoSpaceDE/>
        <w:autoSpaceDN/>
        <w:bidi w:val="0"/>
        <w:adjustRightInd/>
        <w:snapToGrid/>
        <w:spacing w:before="190" w:line="500" w:lineRule="exact"/>
        <w:ind w:firstLine="420" w:firstLineChars="200"/>
        <w:rPr>
          <w:color w:val="auto"/>
          <w:sz w:val="21"/>
          <w:szCs w:val="21"/>
          <w:highlight w:val="none"/>
        </w:rPr>
      </w:pPr>
      <w:r>
        <w:rPr>
          <w:rFonts w:hint="eastAsia"/>
          <w:color w:val="auto"/>
          <w:sz w:val="21"/>
          <w:szCs w:val="21"/>
          <w:highlight w:val="none"/>
        </w:rPr>
        <w:t>在完成规定的</w:t>
      </w:r>
      <w:r>
        <w:rPr>
          <w:rFonts w:hint="eastAsia"/>
          <w:color w:val="auto"/>
          <w:sz w:val="21"/>
          <w:szCs w:val="21"/>
          <w:highlight w:val="none"/>
          <w:lang w:val="en-US" w:eastAsia="zh-CN"/>
        </w:rPr>
        <w:t>设计图</w:t>
      </w:r>
      <w:r>
        <w:rPr>
          <w:rFonts w:hint="eastAsia"/>
          <w:color w:val="auto"/>
          <w:sz w:val="21"/>
          <w:szCs w:val="21"/>
          <w:highlight w:val="none"/>
        </w:rPr>
        <w:t>工程量，</w:t>
      </w:r>
      <w:r>
        <w:rPr>
          <w:rFonts w:hint="eastAsia"/>
          <w:color w:val="auto"/>
          <w:sz w:val="21"/>
          <w:szCs w:val="21"/>
          <w:highlight w:val="none"/>
          <w:lang w:val="en-US" w:eastAsia="zh-CN"/>
        </w:rPr>
        <w:t>由业主</w:t>
      </w:r>
      <w:r>
        <w:rPr>
          <w:rFonts w:hint="eastAsia"/>
          <w:color w:val="auto"/>
          <w:sz w:val="21"/>
          <w:szCs w:val="21"/>
          <w:highlight w:val="none"/>
        </w:rPr>
        <w:t>、监理单位共同</w:t>
      </w:r>
      <w:r>
        <w:rPr>
          <w:rFonts w:hint="eastAsia"/>
          <w:color w:val="auto"/>
          <w:sz w:val="21"/>
          <w:szCs w:val="21"/>
          <w:highlight w:val="none"/>
          <w:lang w:val="en-US" w:eastAsia="zh-CN"/>
        </w:rPr>
        <w:t>验收，</w:t>
      </w:r>
      <w:r>
        <w:rPr>
          <w:rFonts w:hint="eastAsia"/>
          <w:color w:val="auto"/>
          <w:sz w:val="21"/>
          <w:szCs w:val="21"/>
          <w:highlight w:val="none"/>
        </w:rPr>
        <w:t>合格后</w:t>
      </w:r>
      <w:r>
        <w:rPr>
          <w:rFonts w:hint="eastAsia"/>
          <w:color w:val="auto"/>
          <w:sz w:val="21"/>
          <w:szCs w:val="21"/>
          <w:highlight w:val="none"/>
          <w:lang w:val="en-US" w:eastAsia="zh-CN"/>
        </w:rPr>
        <w:t>根据业主、监理单位对乙方编制的结书审核后</w:t>
      </w:r>
      <w:r>
        <w:rPr>
          <w:rFonts w:hint="eastAsia"/>
          <w:color w:val="auto"/>
          <w:sz w:val="21"/>
          <w:szCs w:val="21"/>
          <w:highlight w:val="none"/>
        </w:rPr>
        <w:t>，支付已完成</w:t>
      </w:r>
      <w:r>
        <w:rPr>
          <w:rFonts w:hint="eastAsia"/>
          <w:color w:val="auto"/>
          <w:sz w:val="21"/>
          <w:szCs w:val="21"/>
          <w:highlight w:val="none"/>
          <w:lang w:val="en-US" w:eastAsia="zh-CN"/>
        </w:rPr>
        <w:t>工程进度款的50%</w:t>
      </w:r>
      <w:r>
        <w:rPr>
          <w:rFonts w:hint="eastAsia"/>
          <w:color w:val="auto"/>
          <w:sz w:val="21"/>
          <w:szCs w:val="21"/>
          <w:highlight w:val="none"/>
          <w:lang w:eastAsia="zh-CN"/>
        </w:rPr>
        <w:t>；</w:t>
      </w:r>
      <w:r>
        <w:rPr>
          <w:rFonts w:hint="eastAsia"/>
          <w:color w:val="auto"/>
          <w:sz w:val="21"/>
          <w:szCs w:val="21"/>
          <w:highlight w:val="none"/>
        </w:rPr>
        <w:t>项目</w:t>
      </w:r>
      <w:r>
        <w:rPr>
          <w:color w:val="auto"/>
          <w:sz w:val="21"/>
          <w:szCs w:val="21"/>
          <w:highlight w:val="none"/>
        </w:rPr>
        <w:t>竣工验收合格</w:t>
      </w:r>
      <w:r>
        <w:rPr>
          <w:rFonts w:hint="eastAsia"/>
          <w:color w:val="auto"/>
          <w:sz w:val="21"/>
          <w:szCs w:val="21"/>
          <w:highlight w:val="none"/>
        </w:rPr>
        <w:t>并通过结算审计，</w:t>
      </w:r>
      <w:r>
        <w:rPr>
          <w:rFonts w:hint="eastAsia"/>
          <w:color w:val="auto"/>
          <w:sz w:val="21"/>
          <w:szCs w:val="21"/>
          <w:highlight w:val="none"/>
          <w:lang w:val="en-US" w:eastAsia="zh-CN"/>
        </w:rPr>
        <w:t>支付至结算价款的95%，</w:t>
      </w:r>
      <w:r>
        <w:rPr>
          <w:rFonts w:hint="eastAsia"/>
          <w:color w:val="auto"/>
          <w:sz w:val="21"/>
          <w:szCs w:val="21"/>
          <w:highlight w:val="none"/>
        </w:rPr>
        <w:t>扣留</w:t>
      </w:r>
      <w:r>
        <w:rPr>
          <w:rFonts w:hint="eastAsia"/>
          <w:color w:val="auto"/>
          <w:sz w:val="21"/>
          <w:szCs w:val="21"/>
          <w:highlight w:val="none"/>
          <w:lang w:val="en-US" w:eastAsia="zh-CN"/>
        </w:rPr>
        <w:t>结算价款的5</w:t>
      </w:r>
      <w:r>
        <w:rPr>
          <w:rFonts w:hint="eastAsia"/>
          <w:color w:val="auto"/>
          <w:sz w:val="21"/>
          <w:szCs w:val="21"/>
          <w:highlight w:val="none"/>
        </w:rPr>
        <w:t>%</w:t>
      </w:r>
      <w:r>
        <w:rPr>
          <w:rFonts w:hint="eastAsia"/>
          <w:color w:val="auto"/>
          <w:sz w:val="21"/>
          <w:szCs w:val="21"/>
          <w:highlight w:val="none"/>
          <w:lang w:val="en-US" w:eastAsia="zh-CN"/>
        </w:rPr>
        <w:t>作为</w:t>
      </w:r>
      <w:r>
        <w:rPr>
          <w:rFonts w:hint="eastAsia"/>
          <w:color w:val="auto"/>
          <w:sz w:val="21"/>
          <w:szCs w:val="21"/>
          <w:highlight w:val="none"/>
        </w:rPr>
        <w:t>质保金；质量缺陷责任期满一年后支付质保金。</w:t>
      </w:r>
    </w:p>
    <w:p w14:paraId="6F0CB8CB">
      <w:pPr>
        <w:pStyle w:val="8"/>
        <w:keepNext w:val="0"/>
        <w:keepLines w:val="0"/>
        <w:pageBreakBefore w:val="0"/>
        <w:kinsoku/>
        <w:wordWrap/>
        <w:overflowPunct/>
        <w:topLinePunct w:val="0"/>
        <w:autoSpaceDE/>
        <w:autoSpaceDN/>
        <w:bidi w:val="0"/>
        <w:adjustRightInd/>
        <w:snapToGrid/>
        <w:spacing w:before="37" w:line="500" w:lineRule="exact"/>
        <w:rPr>
          <w:color w:val="auto"/>
          <w:sz w:val="21"/>
          <w:szCs w:val="21"/>
          <w:highlight w:val="none"/>
        </w:rPr>
      </w:pPr>
      <w:r>
        <w:rPr>
          <w:rFonts w:hint="eastAsia"/>
          <w:color w:val="auto"/>
          <w:sz w:val="21"/>
          <w:szCs w:val="21"/>
          <w:highlight w:val="none"/>
          <w:lang w:val="en-US"/>
        </w:rPr>
        <w:t>七</w:t>
      </w:r>
      <w:r>
        <w:rPr>
          <w:color w:val="auto"/>
          <w:sz w:val="21"/>
          <w:szCs w:val="21"/>
          <w:highlight w:val="none"/>
        </w:rPr>
        <w:t>、工程质量标准要求</w:t>
      </w:r>
    </w:p>
    <w:p w14:paraId="622060F2">
      <w:pPr>
        <w:pStyle w:val="2"/>
        <w:keepNext w:val="0"/>
        <w:keepLines w:val="0"/>
        <w:pageBreakBefore w:val="0"/>
        <w:kinsoku/>
        <w:wordWrap/>
        <w:overflowPunct/>
        <w:topLinePunct w:val="0"/>
        <w:autoSpaceDE/>
        <w:autoSpaceDN/>
        <w:bidi w:val="0"/>
        <w:adjustRightInd/>
        <w:snapToGrid/>
        <w:spacing w:before="123" w:line="500" w:lineRule="exact"/>
        <w:ind w:left="132" w:right="318" w:firstLine="420"/>
        <w:rPr>
          <w:color w:val="auto"/>
          <w:sz w:val="21"/>
          <w:szCs w:val="21"/>
          <w:highlight w:val="none"/>
        </w:rPr>
      </w:pPr>
      <w:r>
        <w:rPr>
          <w:color w:val="auto"/>
          <w:w w:val="95"/>
          <w:sz w:val="21"/>
          <w:szCs w:val="21"/>
          <w:highlight w:val="none"/>
        </w:rPr>
        <w:t>1</w:t>
      </w:r>
      <w:r>
        <w:rPr>
          <w:color w:val="auto"/>
          <w:spacing w:val="-19"/>
          <w:w w:val="95"/>
          <w:sz w:val="21"/>
          <w:szCs w:val="21"/>
          <w:highlight w:val="none"/>
        </w:rPr>
        <w:t>、</w:t>
      </w:r>
      <w:r>
        <w:rPr>
          <w:rFonts w:hint="eastAsia" w:ascii="Times New Roman" w:hAnsi="Times New Roman" w:eastAsia="宋体" w:cs="Times New Roman"/>
          <w:color w:val="auto"/>
          <w:sz w:val="21"/>
          <w:szCs w:val="21"/>
          <w:highlight w:val="none"/>
        </w:rPr>
        <w:t>达到国家现行有关施工质量验收规范和标准的要求，一次性验收并达到合格标准</w:t>
      </w:r>
      <w:r>
        <w:rPr>
          <w:rFonts w:ascii="Times New Roman" w:hAnsi="Times New Roman" w:eastAsia="宋体" w:cs="Times New Roman"/>
          <w:color w:val="auto"/>
          <w:sz w:val="21"/>
          <w:szCs w:val="21"/>
          <w:highlight w:val="none"/>
        </w:rPr>
        <w:t>。</w:t>
      </w:r>
    </w:p>
    <w:p w14:paraId="0639E748">
      <w:pPr>
        <w:pStyle w:val="2"/>
        <w:keepNext w:val="0"/>
        <w:keepLines w:val="0"/>
        <w:pageBreakBefore w:val="0"/>
        <w:kinsoku/>
        <w:wordWrap/>
        <w:overflowPunct/>
        <w:topLinePunct w:val="0"/>
        <w:autoSpaceDE/>
        <w:autoSpaceDN/>
        <w:bidi w:val="0"/>
        <w:adjustRightInd/>
        <w:snapToGrid/>
        <w:spacing w:before="28" w:line="500" w:lineRule="exact"/>
        <w:ind w:left="132" w:right="424" w:firstLine="420"/>
        <w:rPr>
          <w:color w:val="auto"/>
          <w:sz w:val="21"/>
          <w:szCs w:val="21"/>
          <w:highlight w:val="none"/>
        </w:rPr>
      </w:pPr>
      <w:r>
        <w:rPr>
          <w:rFonts w:hint="eastAsia"/>
          <w:color w:val="auto"/>
          <w:w w:val="95"/>
          <w:sz w:val="21"/>
          <w:szCs w:val="21"/>
          <w:highlight w:val="none"/>
        </w:rPr>
        <w:t>2</w:t>
      </w:r>
      <w:r>
        <w:rPr>
          <w:color w:val="auto"/>
          <w:spacing w:val="-8"/>
          <w:w w:val="95"/>
          <w:sz w:val="21"/>
          <w:szCs w:val="21"/>
          <w:highlight w:val="none"/>
        </w:rPr>
        <w:t>、</w:t>
      </w:r>
      <w:r>
        <w:rPr>
          <w:color w:val="auto"/>
          <w:sz w:val="21"/>
          <w:szCs w:val="21"/>
          <w:highlight w:val="none"/>
        </w:rPr>
        <w:t>乙方严格按照施工图纸和施工图设计变更进行施工。建立、健全施工质量检验制度，严格工序管</w:t>
      </w:r>
      <w:r>
        <w:rPr>
          <w:rFonts w:hint="eastAsia"/>
          <w:color w:val="auto"/>
          <w:sz w:val="21"/>
          <w:szCs w:val="21"/>
          <w:highlight w:val="none"/>
        </w:rPr>
        <w:t>理</w:t>
      </w:r>
      <w:r>
        <w:rPr>
          <w:color w:val="auto"/>
          <w:sz w:val="21"/>
          <w:szCs w:val="21"/>
          <w:highlight w:val="none"/>
        </w:rPr>
        <w:t>，</w:t>
      </w:r>
      <w:r>
        <w:rPr>
          <w:color w:val="auto"/>
          <w:spacing w:val="-8"/>
          <w:sz w:val="21"/>
          <w:szCs w:val="21"/>
          <w:highlight w:val="none"/>
        </w:rPr>
        <w:t>做好隐蔽工程的质量检查和记录。</w:t>
      </w:r>
    </w:p>
    <w:p w14:paraId="351B0102">
      <w:pPr>
        <w:pStyle w:val="2"/>
        <w:keepNext w:val="0"/>
        <w:keepLines w:val="0"/>
        <w:pageBreakBefore w:val="0"/>
        <w:kinsoku/>
        <w:wordWrap/>
        <w:overflowPunct/>
        <w:topLinePunct w:val="0"/>
        <w:autoSpaceDE/>
        <w:autoSpaceDN/>
        <w:bidi w:val="0"/>
        <w:adjustRightInd/>
        <w:snapToGrid/>
        <w:spacing w:before="1" w:line="500" w:lineRule="exact"/>
        <w:ind w:left="132" w:right="317" w:firstLine="420"/>
        <w:rPr>
          <w:color w:val="auto"/>
          <w:sz w:val="21"/>
          <w:szCs w:val="21"/>
          <w:highlight w:val="none"/>
        </w:rPr>
      </w:pPr>
      <w:r>
        <w:rPr>
          <w:rFonts w:hint="eastAsia"/>
          <w:color w:val="auto"/>
          <w:sz w:val="21"/>
          <w:szCs w:val="21"/>
          <w:highlight w:val="none"/>
        </w:rPr>
        <w:t>3</w:t>
      </w:r>
      <w:r>
        <w:rPr>
          <w:color w:val="auto"/>
          <w:spacing w:val="-9"/>
          <w:sz w:val="21"/>
          <w:szCs w:val="21"/>
          <w:highlight w:val="none"/>
        </w:rPr>
        <w:t>、工程完工后，由乙方向甲方提交完工验收申请书，同时附验收申请、竣工图纸、隐蔽工程验收签</w:t>
      </w:r>
      <w:r>
        <w:rPr>
          <w:color w:val="auto"/>
          <w:sz w:val="21"/>
          <w:szCs w:val="21"/>
          <w:highlight w:val="none"/>
        </w:rPr>
        <w:t>证单、单元工程质量评定表、工程造价结算单、质量检测报告和监理报告、项目预决算报告、竣</w:t>
      </w:r>
      <w:r>
        <w:rPr>
          <w:color w:val="auto"/>
          <w:spacing w:val="-12"/>
          <w:sz w:val="21"/>
          <w:szCs w:val="21"/>
          <w:highlight w:val="none"/>
        </w:rPr>
        <w:t xml:space="preserve">工验收文件和项目移交手续等。甲方在收到乙方申请书 </w:t>
      </w:r>
      <w:r>
        <w:rPr>
          <w:rFonts w:hint="eastAsia"/>
          <w:color w:val="auto"/>
          <w:sz w:val="21"/>
          <w:szCs w:val="21"/>
          <w:highlight w:val="none"/>
        </w:rPr>
        <w:t>10</w:t>
      </w:r>
      <w:r>
        <w:rPr>
          <w:color w:val="auto"/>
          <w:spacing w:val="-8"/>
          <w:sz w:val="21"/>
          <w:szCs w:val="21"/>
          <w:highlight w:val="none"/>
        </w:rPr>
        <w:t>日内，甲方组织相关人员进行完工验收。</w:t>
      </w:r>
    </w:p>
    <w:p w14:paraId="60147A92">
      <w:pPr>
        <w:pStyle w:val="2"/>
        <w:keepNext w:val="0"/>
        <w:keepLines w:val="0"/>
        <w:pageBreakBefore w:val="0"/>
        <w:kinsoku/>
        <w:wordWrap/>
        <w:overflowPunct/>
        <w:topLinePunct w:val="0"/>
        <w:autoSpaceDE/>
        <w:autoSpaceDN/>
        <w:bidi w:val="0"/>
        <w:adjustRightInd/>
        <w:snapToGrid/>
        <w:spacing w:before="178" w:line="500" w:lineRule="exact"/>
        <w:ind w:left="132" w:firstLine="632" w:firstLineChars="300"/>
        <w:rPr>
          <w:color w:val="auto"/>
          <w:szCs w:val="21"/>
          <w:highlight w:val="none"/>
        </w:rPr>
      </w:pPr>
      <w:r>
        <w:rPr>
          <w:rFonts w:hint="eastAsia" w:ascii="宋体" w:hAnsi="宋体" w:eastAsia="宋体" w:cs="宋体"/>
          <w:b/>
          <w:bCs/>
          <w:color w:val="auto"/>
          <w:kern w:val="2"/>
          <w:sz w:val="21"/>
          <w:szCs w:val="21"/>
          <w:highlight w:val="none"/>
          <w:lang w:val="zh-CN" w:eastAsia="zh-CN" w:bidi="zh-CN"/>
        </w:rPr>
        <w:t>八</w:t>
      </w:r>
      <w:r>
        <w:rPr>
          <w:rFonts w:ascii="宋体" w:hAnsi="宋体" w:eastAsia="宋体" w:cs="宋体"/>
          <w:b/>
          <w:bCs/>
          <w:color w:val="auto"/>
          <w:kern w:val="2"/>
          <w:sz w:val="21"/>
          <w:szCs w:val="21"/>
          <w:highlight w:val="none"/>
          <w:lang w:val="zh-CN" w:eastAsia="zh-CN" w:bidi="zh-CN"/>
        </w:rPr>
        <w:t>、</w:t>
      </w:r>
      <w:r>
        <w:rPr>
          <w:rFonts w:hint="eastAsia" w:ascii="宋体" w:hAnsi="宋体" w:eastAsia="宋体" w:cs="宋体"/>
          <w:b/>
          <w:bCs/>
          <w:color w:val="auto"/>
          <w:kern w:val="2"/>
          <w:sz w:val="21"/>
          <w:szCs w:val="21"/>
          <w:highlight w:val="none"/>
          <w:lang w:val="zh-CN" w:eastAsia="zh-CN" w:bidi="zh-CN"/>
        </w:rPr>
        <w:t>缺陷</w:t>
      </w:r>
      <w:r>
        <w:rPr>
          <w:rFonts w:ascii="宋体" w:hAnsi="宋体" w:eastAsia="宋体" w:cs="宋体"/>
          <w:b/>
          <w:bCs/>
          <w:color w:val="auto"/>
          <w:kern w:val="2"/>
          <w:sz w:val="21"/>
          <w:szCs w:val="21"/>
          <w:highlight w:val="none"/>
          <w:lang w:val="zh-CN" w:eastAsia="zh-CN" w:bidi="zh-CN"/>
        </w:rPr>
        <w:t>责任期及工程质保金</w:t>
      </w:r>
    </w:p>
    <w:p w14:paraId="33821692">
      <w:pPr>
        <w:pStyle w:val="2"/>
        <w:keepNext w:val="0"/>
        <w:keepLines w:val="0"/>
        <w:pageBreakBefore w:val="0"/>
        <w:kinsoku/>
        <w:wordWrap/>
        <w:overflowPunct/>
        <w:topLinePunct w:val="0"/>
        <w:autoSpaceDE/>
        <w:autoSpaceDN/>
        <w:bidi w:val="0"/>
        <w:adjustRightInd/>
        <w:snapToGrid/>
        <w:spacing w:before="178" w:line="500" w:lineRule="exact"/>
        <w:ind w:left="132" w:firstLine="420" w:firstLineChars="200"/>
        <w:rPr>
          <w:rFonts w:hint="eastAsia" w:ascii="Times New Roman" w:hAnsi="Times New Roman" w:eastAsia="宋体" w:cs="Times New Roman"/>
          <w:color w:val="auto"/>
          <w:sz w:val="21"/>
          <w:szCs w:val="21"/>
          <w:highlight w:val="none"/>
          <w:lang w:eastAsia="zh-CN"/>
        </w:rPr>
      </w:pPr>
      <w:r>
        <w:rPr>
          <w:color w:val="auto"/>
          <w:sz w:val="21"/>
          <w:szCs w:val="21"/>
          <w:highlight w:val="none"/>
        </w:rPr>
        <w:t>工程缺陷责任期为</w:t>
      </w:r>
      <w:r>
        <w:rPr>
          <w:color w:val="auto"/>
          <w:sz w:val="21"/>
          <w:szCs w:val="21"/>
          <w:highlight w:val="none"/>
          <w:u w:val="single"/>
        </w:rPr>
        <w:t xml:space="preserve"> 12</w:t>
      </w:r>
      <w:r>
        <w:rPr>
          <w:color w:val="auto"/>
          <w:sz w:val="21"/>
          <w:szCs w:val="21"/>
          <w:highlight w:val="none"/>
        </w:rPr>
        <w:t xml:space="preserve"> 个月，缺陷责任期自工程竣工验收合格之日起计</w:t>
      </w:r>
      <w:r>
        <w:rPr>
          <w:rFonts w:ascii="Times New Roman" w:hAnsi="Times New Roman" w:eastAsia="宋体" w:cs="Times New Roman"/>
          <w:color w:val="auto"/>
          <w:sz w:val="21"/>
          <w:szCs w:val="21"/>
          <w:highlight w:val="none"/>
        </w:rPr>
        <w:t>算</w:t>
      </w:r>
      <w:r>
        <w:rPr>
          <w:rFonts w:hint="eastAsia" w:ascii="Times New Roman" w:hAnsi="Times New Roman" w:eastAsia="宋体" w:cs="Times New Roman"/>
          <w:color w:val="auto"/>
          <w:sz w:val="21"/>
          <w:szCs w:val="21"/>
          <w:highlight w:val="none"/>
          <w:lang w:eastAsia="zh-CN"/>
        </w:rPr>
        <w:t>；</w:t>
      </w:r>
    </w:p>
    <w:p w14:paraId="3554E53A">
      <w:pPr>
        <w:pStyle w:val="2"/>
        <w:keepNext w:val="0"/>
        <w:keepLines w:val="0"/>
        <w:pageBreakBefore w:val="0"/>
        <w:kinsoku/>
        <w:wordWrap/>
        <w:overflowPunct/>
        <w:topLinePunct w:val="0"/>
        <w:autoSpaceDE/>
        <w:autoSpaceDN/>
        <w:bidi w:val="0"/>
        <w:adjustRightInd/>
        <w:snapToGrid/>
        <w:spacing w:before="178" w:line="500" w:lineRule="exact"/>
        <w:ind w:left="132" w:firstLine="420" w:firstLineChars="200"/>
        <w:rPr>
          <w:color w:val="auto"/>
          <w:sz w:val="21"/>
          <w:szCs w:val="21"/>
          <w:highlight w:val="none"/>
        </w:rPr>
      </w:pPr>
      <w:r>
        <w:rPr>
          <w:rFonts w:ascii="Times New Roman" w:hAnsi="Times New Roman" w:eastAsia="宋体" w:cs="Times New Roman"/>
          <w:color w:val="auto"/>
          <w:sz w:val="21"/>
          <w:szCs w:val="21"/>
          <w:highlight w:val="none"/>
        </w:rPr>
        <w:t>质量保证金按照结算价款总额的</w:t>
      </w:r>
      <w:r>
        <w:rPr>
          <w:rFonts w:hint="eastAsia" w:cs="Times New Roman"/>
          <w:color w:val="auto"/>
          <w:sz w:val="21"/>
          <w:szCs w:val="21"/>
          <w:highlight w:val="none"/>
          <w:lang w:val="en-US" w:eastAsia="zh-CN"/>
        </w:rPr>
        <w:t>3</w:t>
      </w:r>
      <w:r>
        <w:rPr>
          <w:rFonts w:ascii="Times New Roman" w:hAnsi="Times New Roman" w:eastAsia="宋体" w:cs="Times New Roman"/>
          <w:color w:val="auto"/>
          <w:sz w:val="21"/>
          <w:szCs w:val="21"/>
          <w:highlight w:val="none"/>
        </w:rPr>
        <w:t>%计取，</w:t>
      </w:r>
      <w:r>
        <w:rPr>
          <w:color w:val="auto"/>
          <w:sz w:val="21"/>
          <w:szCs w:val="21"/>
          <w:highlight w:val="none"/>
        </w:rPr>
        <w:t>从竣工验收合格之日起计算，质保期满后若无任何质量缺陷问题，则甲方一次性无息退还。</w:t>
      </w:r>
    </w:p>
    <w:p w14:paraId="15976889">
      <w:pPr>
        <w:pStyle w:val="2"/>
        <w:keepNext w:val="0"/>
        <w:keepLines w:val="0"/>
        <w:pageBreakBefore w:val="0"/>
        <w:kinsoku/>
        <w:wordWrap/>
        <w:overflowPunct/>
        <w:topLinePunct w:val="0"/>
        <w:autoSpaceDE/>
        <w:autoSpaceDN/>
        <w:bidi w:val="0"/>
        <w:adjustRightInd/>
        <w:snapToGrid/>
        <w:spacing w:before="160" w:line="500" w:lineRule="exact"/>
        <w:ind w:left="132" w:right="493" w:firstLine="655" w:firstLineChars="328"/>
        <w:rPr>
          <w:color w:val="auto"/>
          <w:sz w:val="21"/>
          <w:szCs w:val="21"/>
          <w:highlight w:val="none"/>
        </w:rPr>
      </w:pPr>
      <w:r>
        <w:rPr>
          <w:rFonts w:hint="eastAsia"/>
          <w:b/>
          <w:color w:val="auto"/>
          <w:w w:val="95"/>
          <w:sz w:val="21"/>
          <w:szCs w:val="21"/>
          <w:highlight w:val="none"/>
          <w:lang w:val="en-US" w:eastAsia="zh-CN"/>
        </w:rPr>
        <w:t>九</w:t>
      </w:r>
      <w:r>
        <w:rPr>
          <w:b/>
          <w:color w:val="auto"/>
          <w:w w:val="95"/>
          <w:sz w:val="21"/>
          <w:szCs w:val="21"/>
          <w:highlight w:val="none"/>
        </w:rPr>
        <w:t>、工程安全管理：</w:t>
      </w:r>
      <w:r>
        <w:rPr>
          <w:color w:val="auto"/>
          <w:sz w:val="21"/>
          <w:szCs w:val="21"/>
          <w:highlight w:val="none"/>
        </w:rPr>
        <w:t>乙方必须按照与甲方所签订的《建设工程安全责任协议书》有关规定执行，并自觉接受甲方对该工程项目的安全检查。</w:t>
      </w:r>
    </w:p>
    <w:p w14:paraId="783418A8">
      <w:pPr>
        <w:pStyle w:val="8"/>
        <w:keepNext w:val="0"/>
        <w:keepLines w:val="0"/>
        <w:pageBreakBefore w:val="0"/>
        <w:kinsoku/>
        <w:wordWrap/>
        <w:overflowPunct/>
        <w:topLinePunct w:val="0"/>
        <w:autoSpaceDE/>
        <w:autoSpaceDN/>
        <w:bidi w:val="0"/>
        <w:adjustRightInd/>
        <w:snapToGrid/>
        <w:spacing w:before="25" w:line="500" w:lineRule="exact"/>
        <w:rPr>
          <w:color w:val="auto"/>
          <w:sz w:val="21"/>
          <w:szCs w:val="21"/>
          <w:highlight w:val="none"/>
        </w:rPr>
      </w:pPr>
      <w:r>
        <w:rPr>
          <w:color w:val="auto"/>
          <w:sz w:val="21"/>
          <w:szCs w:val="21"/>
          <w:highlight w:val="none"/>
        </w:rPr>
        <w:t>十、乙方拟派主要管理人员及要求</w:t>
      </w:r>
    </w:p>
    <w:p w14:paraId="6EFCA868">
      <w:pPr>
        <w:pStyle w:val="2"/>
        <w:keepNext w:val="0"/>
        <w:keepLines w:val="0"/>
        <w:pageBreakBefore w:val="0"/>
        <w:tabs>
          <w:tab w:val="left" w:pos="2023"/>
          <w:tab w:val="left" w:pos="4438"/>
          <w:tab w:val="left" w:pos="7063"/>
          <w:tab w:val="left" w:pos="9372"/>
        </w:tabs>
        <w:kinsoku/>
        <w:wordWrap/>
        <w:overflowPunct/>
        <w:topLinePunct w:val="0"/>
        <w:autoSpaceDE/>
        <w:autoSpaceDN/>
        <w:bidi w:val="0"/>
        <w:adjustRightInd/>
        <w:snapToGrid/>
        <w:spacing w:before="179" w:line="500" w:lineRule="exact"/>
        <w:ind w:left="132" w:leftChars="0" w:right="443" w:firstLine="508" w:firstLineChars="0"/>
        <w:rPr>
          <w:rFonts w:hint="eastAsia"/>
          <w:color w:val="auto"/>
          <w:sz w:val="21"/>
          <w:szCs w:val="21"/>
          <w:highlight w:val="none"/>
        </w:rPr>
      </w:pPr>
      <w:r>
        <w:rPr>
          <w:color w:val="auto"/>
          <w:sz w:val="21"/>
          <w:szCs w:val="21"/>
          <w:highlight w:val="none"/>
        </w:rPr>
        <w:t>乙方承诺</w:t>
      </w:r>
      <w:r>
        <w:rPr>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 xml:space="preserve"> </w:t>
      </w:r>
      <w:r>
        <w:rPr>
          <w:color w:val="auto"/>
          <w:sz w:val="21"/>
          <w:szCs w:val="21"/>
          <w:highlight w:val="none"/>
        </w:rPr>
        <w:t>为本工程项目经理，</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rPr>
        <w:t>为本工程技术负责人</w:t>
      </w:r>
      <w:r>
        <w:rPr>
          <w:rFonts w:hint="eastAsia"/>
          <w:color w:val="auto"/>
          <w:sz w:val="21"/>
          <w:szCs w:val="21"/>
          <w:highlight w:val="none"/>
        </w:rPr>
        <w:t>，</w:t>
      </w:r>
      <w:r>
        <w:rPr>
          <w:rFonts w:hint="eastAsia"/>
          <w:color w:val="auto"/>
          <w:sz w:val="21"/>
          <w:szCs w:val="21"/>
          <w:highlight w:val="none"/>
          <w:u w:val="single"/>
        </w:rPr>
        <w:tab/>
      </w:r>
      <w:r>
        <w:rPr>
          <w:rFonts w:hint="eastAsia"/>
          <w:color w:val="auto"/>
          <w:sz w:val="21"/>
          <w:szCs w:val="21"/>
          <w:highlight w:val="none"/>
          <w:u w:val="single"/>
        </w:rPr>
        <w:t xml:space="preserve"> </w:t>
      </w:r>
      <w:r>
        <w:rPr>
          <w:color w:val="auto"/>
          <w:sz w:val="21"/>
          <w:szCs w:val="21"/>
          <w:highlight w:val="none"/>
        </w:rPr>
        <w:t>为</w:t>
      </w:r>
      <w:r>
        <w:rPr>
          <w:rFonts w:hint="eastAsia"/>
          <w:color w:val="auto"/>
          <w:sz w:val="21"/>
          <w:szCs w:val="21"/>
          <w:highlight w:val="none"/>
        </w:rPr>
        <w:t>本工程质检员（或质量员），</w:t>
      </w:r>
      <w:r>
        <w:rPr>
          <w:rFonts w:hint="eastAsia"/>
          <w:color w:val="auto"/>
          <w:sz w:val="21"/>
          <w:szCs w:val="21"/>
          <w:highlight w:val="none"/>
          <w:u w:val="single"/>
          <w:lang w:val="en-US" w:eastAsia="zh-CN"/>
        </w:rPr>
        <w:t xml:space="preserve">      </w:t>
      </w:r>
      <w:r>
        <w:rPr>
          <w:color w:val="auto"/>
          <w:sz w:val="21"/>
          <w:szCs w:val="21"/>
          <w:highlight w:val="none"/>
        </w:rPr>
        <w:t>为</w:t>
      </w:r>
      <w:r>
        <w:rPr>
          <w:rFonts w:hint="eastAsia"/>
          <w:color w:val="auto"/>
          <w:sz w:val="21"/>
          <w:szCs w:val="21"/>
          <w:highlight w:val="none"/>
        </w:rPr>
        <w:t>本工程施工员，</w:t>
      </w:r>
      <w:r>
        <w:rPr>
          <w:rFonts w:hint="eastAsia"/>
          <w:color w:val="auto"/>
          <w:sz w:val="21"/>
          <w:szCs w:val="21"/>
          <w:highlight w:val="none"/>
          <w:u w:val="single"/>
          <w:lang w:val="en-US" w:eastAsia="zh-CN"/>
        </w:rPr>
        <w:t xml:space="preserve">      </w:t>
      </w:r>
      <w:r>
        <w:rPr>
          <w:color w:val="auto"/>
          <w:sz w:val="21"/>
          <w:szCs w:val="21"/>
          <w:highlight w:val="none"/>
        </w:rPr>
        <w:t>为</w:t>
      </w:r>
      <w:r>
        <w:rPr>
          <w:rFonts w:hint="eastAsia"/>
          <w:color w:val="auto"/>
          <w:sz w:val="21"/>
          <w:szCs w:val="21"/>
          <w:highlight w:val="none"/>
        </w:rPr>
        <w:t>本工程</w:t>
      </w:r>
      <w:r>
        <w:rPr>
          <w:rFonts w:hint="eastAsia"/>
          <w:color w:val="auto"/>
          <w:sz w:val="21"/>
          <w:szCs w:val="21"/>
          <w:highlight w:val="none"/>
          <w:lang w:val="en-US" w:eastAsia="zh-CN"/>
        </w:rPr>
        <w:t>专职安全生产管理人员</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rPr>
        <w:t>为</w:t>
      </w:r>
      <w:r>
        <w:rPr>
          <w:rFonts w:hint="eastAsia"/>
          <w:color w:val="auto"/>
          <w:sz w:val="21"/>
          <w:szCs w:val="21"/>
          <w:highlight w:val="none"/>
        </w:rPr>
        <w:t>本工程材料员，</w:t>
      </w:r>
      <w:r>
        <w:rPr>
          <w:rFonts w:hint="eastAsia"/>
          <w:color w:val="auto"/>
          <w:sz w:val="21"/>
          <w:szCs w:val="21"/>
          <w:highlight w:val="none"/>
          <w:u w:val="single"/>
          <w:lang w:val="en-US" w:eastAsia="zh-CN"/>
        </w:rPr>
        <w:t xml:space="preserve">     </w:t>
      </w:r>
      <w:r>
        <w:rPr>
          <w:color w:val="auto"/>
          <w:sz w:val="21"/>
          <w:szCs w:val="21"/>
          <w:highlight w:val="none"/>
        </w:rPr>
        <w:t>为</w:t>
      </w:r>
      <w:r>
        <w:rPr>
          <w:rFonts w:hint="eastAsia"/>
          <w:color w:val="auto"/>
          <w:sz w:val="21"/>
          <w:szCs w:val="21"/>
          <w:highlight w:val="none"/>
        </w:rPr>
        <w:t>本工程造价员或造价工程师。</w:t>
      </w:r>
    </w:p>
    <w:p w14:paraId="475771EE">
      <w:pPr>
        <w:pStyle w:val="2"/>
        <w:keepNext w:val="0"/>
        <w:keepLines w:val="0"/>
        <w:pageBreakBefore w:val="0"/>
        <w:kinsoku/>
        <w:wordWrap/>
        <w:overflowPunct/>
        <w:topLinePunct w:val="0"/>
        <w:autoSpaceDE/>
        <w:autoSpaceDN/>
        <w:bidi w:val="0"/>
        <w:adjustRightInd/>
        <w:snapToGrid/>
        <w:spacing w:before="142" w:line="500" w:lineRule="exact"/>
        <w:ind w:firstLine="420" w:firstLineChars="200"/>
        <w:rPr>
          <w:rFonts w:hint="eastAsia"/>
          <w:color w:val="auto"/>
          <w:sz w:val="21"/>
          <w:szCs w:val="21"/>
          <w:highlight w:val="none"/>
        </w:rPr>
      </w:pPr>
      <w:r>
        <w:rPr>
          <w:rFonts w:hint="eastAsia"/>
          <w:color w:val="auto"/>
          <w:sz w:val="21"/>
          <w:szCs w:val="21"/>
          <w:highlight w:val="none"/>
        </w:rPr>
        <w:t>注：1、</w:t>
      </w:r>
      <w:r>
        <w:rPr>
          <w:color w:val="auto"/>
          <w:sz w:val="21"/>
          <w:szCs w:val="21"/>
          <w:highlight w:val="none"/>
        </w:rPr>
        <w:t>甲方根据项目实际情况及工程进度对拟派现场管理人员人数进行要求，乙方需无条件配合。所有拟派人员必须有满足要求的上岗证书或执业资格证并持证上岗，在签订施工合同后，乙方需将上述人员上岗证书或职业资格证复印件报甲方备案。</w:t>
      </w:r>
    </w:p>
    <w:p w14:paraId="6EDB1C64">
      <w:pPr>
        <w:pStyle w:val="2"/>
        <w:keepNext w:val="0"/>
        <w:keepLines w:val="0"/>
        <w:pageBreakBefore w:val="0"/>
        <w:kinsoku/>
        <w:wordWrap/>
        <w:overflowPunct/>
        <w:topLinePunct w:val="0"/>
        <w:autoSpaceDE/>
        <w:autoSpaceDN/>
        <w:bidi w:val="0"/>
        <w:adjustRightInd/>
        <w:snapToGrid/>
        <w:spacing w:before="142" w:line="500" w:lineRule="exact"/>
        <w:ind w:firstLine="420" w:firstLineChars="200"/>
        <w:rPr>
          <w:color w:val="auto"/>
          <w:sz w:val="21"/>
          <w:szCs w:val="21"/>
          <w:highlight w:val="none"/>
        </w:rPr>
      </w:pPr>
      <w:r>
        <w:rPr>
          <w:rFonts w:hint="eastAsia"/>
          <w:color w:val="auto"/>
          <w:sz w:val="21"/>
          <w:szCs w:val="21"/>
          <w:highlight w:val="none"/>
        </w:rPr>
        <w:t>2、乙方拟派人员每月在施工现场的时间不少于22天，甲方根据现场考勤对考勤天数未达到要求及突击检查发现人员不在现场情况按以下标准处罚：项目经理及技术负责人按5000元/人*次进行处罚，其他人员按2000元/人*次进行处罚。</w:t>
      </w:r>
    </w:p>
    <w:p w14:paraId="73931A82">
      <w:pPr>
        <w:pStyle w:val="8"/>
        <w:keepNext w:val="0"/>
        <w:keepLines w:val="0"/>
        <w:pageBreakBefore w:val="0"/>
        <w:kinsoku/>
        <w:wordWrap/>
        <w:overflowPunct/>
        <w:topLinePunct w:val="0"/>
        <w:autoSpaceDE/>
        <w:autoSpaceDN/>
        <w:bidi w:val="0"/>
        <w:adjustRightInd/>
        <w:snapToGrid/>
        <w:spacing w:before="25" w:line="500" w:lineRule="exact"/>
        <w:rPr>
          <w:color w:val="auto"/>
          <w:sz w:val="21"/>
          <w:szCs w:val="21"/>
          <w:highlight w:val="none"/>
        </w:rPr>
      </w:pPr>
      <w:r>
        <w:rPr>
          <w:color w:val="auto"/>
          <w:sz w:val="21"/>
          <w:szCs w:val="21"/>
          <w:highlight w:val="none"/>
        </w:rPr>
        <w:t>十</w:t>
      </w:r>
      <w:r>
        <w:rPr>
          <w:rFonts w:hint="eastAsia"/>
          <w:color w:val="auto"/>
          <w:sz w:val="21"/>
          <w:szCs w:val="21"/>
          <w:highlight w:val="none"/>
          <w:lang w:val="en-US" w:eastAsia="zh-CN"/>
        </w:rPr>
        <w:t>一</w:t>
      </w:r>
      <w:r>
        <w:rPr>
          <w:color w:val="auto"/>
          <w:sz w:val="21"/>
          <w:szCs w:val="21"/>
          <w:highlight w:val="none"/>
        </w:rPr>
        <w:t>、双方责任</w:t>
      </w:r>
    </w:p>
    <w:p w14:paraId="1329BB9C">
      <w:pPr>
        <w:pStyle w:val="18"/>
        <w:keepNext w:val="0"/>
        <w:keepLines w:val="0"/>
        <w:pageBreakBefore w:val="0"/>
        <w:numPr>
          <w:ilvl w:val="1"/>
          <w:numId w:val="7"/>
        </w:numPr>
        <w:tabs>
          <w:tab w:val="left" w:pos="1040"/>
        </w:tabs>
        <w:kinsoku/>
        <w:wordWrap/>
        <w:overflowPunct/>
        <w:topLinePunct w:val="0"/>
        <w:autoSpaceDE/>
        <w:autoSpaceDN/>
        <w:bidi w:val="0"/>
        <w:adjustRightInd/>
        <w:snapToGrid/>
        <w:spacing w:before="178" w:line="500" w:lineRule="exact"/>
        <w:ind w:right="253" w:firstLine="525"/>
        <w:rPr>
          <w:color w:val="auto"/>
          <w:szCs w:val="21"/>
          <w:highlight w:val="none"/>
        </w:rPr>
      </w:pPr>
      <w:r>
        <w:rPr>
          <w:color w:val="auto"/>
          <w:spacing w:val="-3"/>
          <w:szCs w:val="21"/>
          <w:highlight w:val="none"/>
        </w:rPr>
        <w:t>甲方负责督促乙方按期保质保量完成修建任务并负责周边公用设施及进出场通道的保护工作，</w:t>
      </w:r>
      <w:r>
        <w:rPr>
          <w:rFonts w:hint="eastAsia"/>
          <w:color w:val="auto"/>
          <w:spacing w:val="-3"/>
          <w:szCs w:val="21"/>
          <w:highlight w:val="none"/>
          <w:lang w:val="en-US"/>
        </w:rPr>
        <w:t>如</w:t>
      </w:r>
      <w:r>
        <w:rPr>
          <w:color w:val="auto"/>
          <w:spacing w:val="-3"/>
          <w:szCs w:val="21"/>
          <w:highlight w:val="none"/>
        </w:rPr>
        <w:t>乙方未采取相关措施，甲方有权要求暂停施工，直至保护措施到位后方可复工，如造成相关损失的需进行赔偿。</w:t>
      </w:r>
    </w:p>
    <w:p w14:paraId="515A1E67">
      <w:pPr>
        <w:pStyle w:val="18"/>
        <w:keepNext w:val="0"/>
        <w:keepLines w:val="0"/>
        <w:pageBreakBefore w:val="0"/>
        <w:numPr>
          <w:ilvl w:val="1"/>
          <w:numId w:val="7"/>
        </w:numPr>
        <w:tabs>
          <w:tab w:val="left" w:pos="1040"/>
        </w:tabs>
        <w:kinsoku/>
        <w:wordWrap/>
        <w:overflowPunct/>
        <w:topLinePunct w:val="0"/>
        <w:autoSpaceDE/>
        <w:autoSpaceDN/>
        <w:bidi w:val="0"/>
        <w:adjustRightInd/>
        <w:snapToGrid/>
        <w:spacing w:before="178" w:line="500" w:lineRule="exact"/>
        <w:ind w:right="253" w:firstLine="525"/>
        <w:rPr>
          <w:color w:val="auto"/>
          <w:spacing w:val="-3"/>
          <w:szCs w:val="21"/>
          <w:highlight w:val="none"/>
        </w:rPr>
      </w:pPr>
      <w:r>
        <w:rPr>
          <w:color w:val="auto"/>
          <w:spacing w:val="-3"/>
          <w:szCs w:val="21"/>
          <w:highlight w:val="none"/>
        </w:rPr>
        <w:t>乙方施工中必须采取有效的安全防范措施，严格按照安全、科学的规范操作。施工中如发生伤亡责任事故，必须按法定程序和时限报告有关部门，不得拖延、隐瞒不报。乙方应对安全生产、防范措施、环境、市容、卫生等负责。施工过程中发生的所有责任事故及经济损失均由乙方自行承担，甲方概不负责。</w:t>
      </w:r>
    </w:p>
    <w:p w14:paraId="39C5B543">
      <w:pPr>
        <w:pStyle w:val="18"/>
        <w:keepNext w:val="0"/>
        <w:keepLines w:val="0"/>
        <w:pageBreakBefore w:val="0"/>
        <w:numPr>
          <w:ilvl w:val="1"/>
          <w:numId w:val="7"/>
        </w:numPr>
        <w:tabs>
          <w:tab w:val="left" w:pos="1040"/>
        </w:tabs>
        <w:kinsoku/>
        <w:wordWrap/>
        <w:overflowPunct/>
        <w:topLinePunct w:val="0"/>
        <w:autoSpaceDE/>
        <w:autoSpaceDN/>
        <w:bidi w:val="0"/>
        <w:adjustRightInd/>
        <w:snapToGrid/>
        <w:spacing w:before="178" w:line="500" w:lineRule="exact"/>
        <w:ind w:right="253" w:firstLine="525"/>
        <w:rPr>
          <w:color w:val="auto"/>
          <w:szCs w:val="21"/>
          <w:highlight w:val="none"/>
        </w:rPr>
      </w:pPr>
      <w:r>
        <w:rPr>
          <w:color w:val="auto"/>
          <w:spacing w:val="-3"/>
          <w:szCs w:val="21"/>
          <w:highlight w:val="none"/>
        </w:rPr>
        <w:t>乙方需按期保质保量完成修建任务并负责周边公用设施的保护工作，并对该项目的质量负全责，项目使用过程中，由质量问题造成所有的责任事故及经济损失均由乙方自行负责，甲方概不负责。</w:t>
      </w:r>
    </w:p>
    <w:p w14:paraId="4057FF41">
      <w:pPr>
        <w:pStyle w:val="18"/>
        <w:keepNext w:val="0"/>
        <w:keepLines w:val="0"/>
        <w:pageBreakBefore w:val="0"/>
        <w:numPr>
          <w:ilvl w:val="1"/>
          <w:numId w:val="7"/>
        </w:numPr>
        <w:tabs>
          <w:tab w:val="left" w:pos="1144"/>
        </w:tabs>
        <w:kinsoku/>
        <w:wordWrap/>
        <w:overflowPunct/>
        <w:topLinePunct w:val="0"/>
        <w:autoSpaceDE/>
        <w:autoSpaceDN/>
        <w:bidi w:val="0"/>
        <w:adjustRightInd/>
        <w:snapToGrid/>
        <w:spacing w:line="500" w:lineRule="exact"/>
        <w:ind w:right="273" w:firstLine="525"/>
        <w:jc w:val="left"/>
        <w:rPr>
          <w:color w:val="auto"/>
          <w:szCs w:val="21"/>
          <w:highlight w:val="none"/>
        </w:rPr>
      </w:pPr>
      <w:r>
        <w:rPr>
          <w:color w:val="auto"/>
          <w:spacing w:val="-3"/>
          <w:szCs w:val="21"/>
          <w:highlight w:val="none"/>
        </w:rPr>
        <w:t>乙方必须自觉服从甲方及各行政主管职能部门管理，切实搞好项目施工管理工作，因违反国家有关</w:t>
      </w:r>
      <w:r>
        <w:rPr>
          <w:color w:val="auto"/>
          <w:szCs w:val="21"/>
          <w:highlight w:val="none"/>
        </w:rPr>
        <w:t>规定造成的罚款或其他责任由乙方承担；</w:t>
      </w:r>
    </w:p>
    <w:p w14:paraId="5A84F88A">
      <w:pPr>
        <w:pStyle w:val="18"/>
        <w:keepNext w:val="0"/>
        <w:keepLines w:val="0"/>
        <w:pageBreakBefore w:val="0"/>
        <w:numPr>
          <w:ilvl w:val="1"/>
          <w:numId w:val="7"/>
        </w:numPr>
        <w:tabs>
          <w:tab w:val="left" w:pos="1040"/>
        </w:tabs>
        <w:kinsoku/>
        <w:wordWrap/>
        <w:overflowPunct/>
        <w:topLinePunct w:val="0"/>
        <w:autoSpaceDE/>
        <w:autoSpaceDN/>
        <w:bidi w:val="0"/>
        <w:adjustRightInd/>
        <w:snapToGrid/>
        <w:spacing w:line="500" w:lineRule="exact"/>
        <w:ind w:left="1040"/>
        <w:jc w:val="left"/>
        <w:rPr>
          <w:color w:val="auto"/>
          <w:sz w:val="21"/>
          <w:szCs w:val="21"/>
          <w:highlight w:val="none"/>
        </w:rPr>
      </w:pPr>
      <w:r>
        <w:rPr>
          <w:color w:val="auto"/>
          <w:szCs w:val="21"/>
          <w:highlight w:val="none"/>
        </w:rPr>
        <w:t>乙方必须在保险部门为所有施工人员按规定交纳相应保险。</w:t>
      </w:r>
    </w:p>
    <w:p w14:paraId="2EFB3DDE">
      <w:pPr>
        <w:pStyle w:val="18"/>
        <w:keepNext w:val="0"/>
        <w:keepLines w:val="0"/>
        <w:pageBreakBefore w:val="0"/>
        <w:numPr>
          <w:ilvl w:val="1"/>
          <w:numId w:val="7"/>
        </w:numPr>
        <w:tabs>
          <w:tab w:val="left" w:pos="1040"/>
        </w:tabs>
        <w:kinsoku/>
        <w:wordWrap/>
        <w:overflowPunct/>
        <w:topLinePunct w:val="0"/>
        <w:autoSpaceDE/>
        <w:autoSpaceDN/>
        <w:bidi w:val="0"/>
        <w:adjustRightInd/>
        <w:snapToGrid/>
        <w:spacing w:line="500" w:lineRule="exact"/>
        <w:ind w:left="1040"/>
        <w:jc w:val="left"/>
        <w:rPr>
          <w:color w:val="auto"/>
          <w:sz w:val="21"/>
          <w:szCs w:val="21"/>
          <w:highlight w:val="none"/>
        </w:rPr>
      </w:pPr>
      <w:r>
        <w:rPr>
          <w:color w:val="auto"/>
          <w:szCs w:val="21"/>
          <w:highlight w:val="none"/>
        </w:rPr>
        <w:t>本项目在实施过程中发生的一切损害及纠纷，由乙方自行解决并承担相应赔偿责任。</w:t>
      </w:r>
    </w:p>
    <w:p w14:paraId="7EC3C1BA">
      <w:pPr>
        <w:pStyle w:val="18"/>
        <w:keepNext w:val="0"/>
        <w:keepLines w:val="0"/>
        <w:pageBreakBefore w:val="0"/>
        <w:numPr>
          <w:ilvl w:val="1"/>
          <w:numId w:val="7"/>
        </w:numPr>
        <w:tabs>
          <w:tab w:val="left" w:pos="1144"/>
        </w:tabs>
        <w:kinsoku/>
        <w:wordWrap/>
        <w:overflowPunct/>
        <w:topLinePunct w:val="0"/>
        <w:autoSpaceDE/>
        <w:autoSpaceDN/>
        <w:bidi w:val="0"/>
        <w:adjustRightInd/>
        <w:snapToGrid/>
        <w:spacing w:line="500" w:lineRule="exact"/>
        <w:ind w:right="273" w:firstLine="525"/>
        <w:rPr>
          <w:color w:val="auto"/>
          <w:szCs w:val="21"/>
          <w:highlight w:val="none"/>
        </w:rPr>
      </w:pPr>
      <w:r>
        <w:rPr>
          <w:color w:val="auto"/>
          <w:spacing w:val="-3"/>
          <w:szCs w:val="21"/>
          <w:highlight w:val="none"/>
        </w:rPr>
        <w:t>工程竣工后，乙方在工程竣工后，将本工程所有竣工资料共三份移交给甲方，同时，乙方按国</w:t>
      </w:r>
      <w:r>
        <w:rPr>
          <w:color w:val="auto"/>
          <w:szCs w:val="21"/>
          <w:highlight w:val="none"/>
        </w:rPr>
        <w:t>家有关规定及甲方归档要求，做好工程技术档案存档工作。</w:t>
      </w:r>
    </w:p>
    <w:p w14:paraId="0507F175">
      <w:pPr>
        <w:pStyle w:val="18"/>
        <w:keepNext w:val="0"/>
        <w:keepLines w:val="0"/>
        <w:pageBreakBefore w:val="0"/>
        <w:numPr>
          <w:ilvl w:val="1"/>
          <w:numId w:val="7"/>
        </w:numPr>
        <w:tabs>
          <w:tab w:val="left" w:pos="1144"/>
        </w:tabs>
        <w:kinsoku/>
        <w:wordWrap/>
        <w:overflowPunct/>
        <w:topLinePunct w:val="0"/>
        <w:autoSpaceDE/>
        <w:autoSpaceDN/>
        <w:bidi w:val="0"/>
        <w:adjustRightInd/>
        <w:snapToGrid/>
        <w:spacing w:line="500" w:lineRule="exact"/>
        <w:ind w:right="273" w:firstLine="525"/>
        <w:rPr>
          <w:color w:val="auto"/>
          <w:szCs w:val="21"/>
          <w:highlight w:val="none"/>
        </w:rPr>
      </w:pPr>
      <w:r>
        <w:rPr>
          <w:color w:val="auto"/>
          <w:spacing w:val="-3"/>
          <w:szCs w:val="21"/>
          <w:highlight w:val="none"/>
        </w:rPr>
        <w:t>乙方在整个施工期间应为其工作人员提供必要的安全防护和劳动保护用品、人身保险，保险费   用由乙方承担。施工期间乙方发生的任何人身伤亡、伤残、疾病和财产损失等均由乙方负责，并承担所有</w:t>
      </w:r>
      <w:r>
        <w:rPr>
          <w:color w:val="auto"/>
          <w:szCs w:val="21"/>
          <w:highlight w:val="none"/>
        </w:rPr>
        <w:t>费用。</w:t>
      </w:r>
      <w:r>
        <w:rPr>
          <w:color w:val="auto"/>
          <w:spacing w:val="-3"/>
          <w:szCs w:val="21"/>
          <w:highlight w:val="none"/>
        </w:rPr>
        <w:t>乙方必须服从甲方的指挥和监督，在施工中出现质量问题，乙方必须无条件立即返工，并承担返</w:t>
      </w:r>
      <w:r>
        <w:rPr>
          <w:color w:val="auto"/>
          <w:spacing w:val="-4"/>
          <w:szCs w:val="21"/>
          <w:highlight w:val="none"/>
        </w:rPr>
        <w:t>工的一切费用。若乙方拒不执行，甲方有权单方终止合同。</w:t>
      </w:r>
    </w:p>
    <w:p w14:paraId="700F8FD3">
      <w:pPr>
        <w:pStyle w:val="9"/>
        <w:keepNext w:val="0"/>
        <w:keepLines w:val="0"/>
        <w:pageBreakBefore w:val="0"/>
        <w:kinsoku/>
        <w:wordWrap/>
        <w:overflowPunct/>
        <w:topLinePunct w:val="0"/>
        <w:autoSpaceDE/>
        <w:autoSpaceDN/>
        <w:bidi w:val="0"/>
        <w:adjustRightInd/>
        <w:snapToGrid/>
        <w:spacing w:before="0" w:line="500" w:lineRule="exact"/>
        <w:rPr>
          <w:b/>
          <w:color w:val="auto"/>
          <w:sz w:val="21"/>
          <w:szCs w:val="21"/>
          <w:highlight w:val="none"/>
        </w:rPr>
      </w:pPr>
      <w:r>
        <w:rPr>
          <w:color w:val="auto"/>
          <w:highlight w:val="none"/>
        </w:rPr>
        <w:t>十</w:t>
      </w:r>
      <w:r>
        <w:rPr>
          <w:rFonts w:hint="eastAsia"/>
          <w:color w:val="auto"/>
          <w:highlight w:val="none"/>
          <w:lang w:val="en-US" w:eastAsia="zh-CN"/>
        </w:rPr>
        <w:t>二</w:t>
      </w:r>
      <w:r>
        <w:rPr>
          <w:color w:val="auto"/>
          <w:highlight w:val="none"/>
        </w:rPr>
        <w:t>、违约责任</w:t>
      </w:r>
    </w:p>
    <w:p w14:paraId="43472723">
      <w:pPr>
        <w:pStyle w:val="2"/>
        <w:keepNext w:val="0"/>
        <w:keepLines w:val="0"/>
        <w:pageBreakBefore w:val="0"/>
        <w:kinsoku/>
        <w:wordWrap/>
        <w:overflowPunct/>
        <w:topLinePunct w:val="0"/>
        <w:autoSpaceDE/>
        <w:autoSpaceDN/>
        <w:bidi w:val="0"/>
        <w:adjustRightInd/>
        <w:snapToGrid/>
        <w:spacing w:line="500" w:lineRule="exact"/>
        <w:ind w:left="449"/>
        <w:rPr>
          <w:color w:val="auto"/>
          <w:sz w:val="21"/>
          <w:szCs w:val="21"/>
          <w:highlight w:val="none"/>
        </w:rPr>
      </w:pPr>
      <w:r>
        <w:rPr>
          <w:rFonts w:eastAsia="Times New Roman"/>
          <w:color w:val="auto"/>
          <w:sz w:val="21"/>
          <w:szCs w:val="21"/>
          <w:highlight w:val="none"/>
        </w:rPr>
        <w:t>1</w:t>
      </w:r>
      <w:r>
        <w:rPr>
          <w:color w:val="auto"/>
          <w:sz w:val="21"/>
          <w:szCs w:val="21"/>
          <w:highlight w:val="none"/>
        </w:rPr>
        <w:t>、乙方其他违约责任的承担方式和计算方法：</w:t>
      </w:r>
    </w:p>
    <w:p w14:paraId="07AE6894">
      <w:pPr>
        <w:pStyle w:val="18"/>
        <w:keepNext w:val="0"/>
        <w:keepLines w:val="0"/>
        <w:pageBreakBefore w:val="0"/>
        <w:numPr>
          <w:ilvl w:val="0"/>
          <w:numId w:val="8"/>
        </w:numPr>
        <w:tabs>
          <w:tab w:val="left" w:pos="870"/>
        </w:tabs>
        <w:kinsoku/>
        <w:wordWrap/>
        <w:overflowPunct/>
        <w:topLinePunct w:val="0"/>
        <w:autoSpaceDE/>
        <w:autoSpaceDN/>
        <w:bidi w:val="0"/>
        <w:adjustRightInd/>
        <w:snapToGrid/>
        <w:spacing w:line="500" w:lineRule="exact"/>
        <w:jc w:val="left"/>
        <w:rPr>
          <w:color w:val="auto"/>
          <w:sz w:val="21"/>
          <w:szCs w:val="21"/>
          <w:highlight w:val="none"/>
        </w:rPr>
      </w:pPr>
      <w:r>
        <w:rPr>
          <w:color w:val="auto"/>
          <w:spacing w:val="-2"/>
          <w:szCs w:val="21"/>
          <w:highlight w:val="none"/>
        </w:rPr>
        <w:t xml:space="preserve">因乙方原因造成本合同无法履行，甲方有权解除或终止本合同，乙方应向甲方按合同总价的 </w:t>
      </w:r>
      <w:r>
        <w:rPr>
          <w:rFonts w:ascii="Times New Roman" w:eastAsia="Times New Roman"/>
          <w:color w:val="auto"/>
          <w:szCs w:val="21"/>
          <w:highlight w:val="none"/>
        </w:rPr>
        <w:t>5%</w:t>
      </w:r>
    </w:p>
    <w:p w14:paraId="1334E6A2">
      <w:pPr>
        <w:pStyle w:val="2"/>
        <w:keepNext w:val="0"/>
        <w:keepLines w:val="0"/>
        <w:pageBreakBefore w:val="0"/>
        <w:kinsoku/>
        <w:wordWrap/>
        <w:overflowPunct/>
        <w:topLinePunct w:val="0"/>
        <w:autoSpaceDE/>
        <w:autoSpaceDN/>
        <w:bidi w:val="0"/>
        <w:adjustRightInd/>
        <w:snapToGrid/>
        <w:spacing w:line="500" w:lineRule="exact"/>
        <w:ind w:left="132"/>
        <w:rPr>
          <w:color w:val="auto"/>
          <w:sz w:val="21"/>
          <w:szCs w:val="21"/>
          <w:highlight w:val="none"/>
        </w:rPr>
      </w:pPr>
      <w:r>
        <w:rPr>
          <w:color w:val="auto"/>
          <w:sz w:val="21"/>
          <w:szCs w:val="21"/>
          <w:highlight w:val="none"/>
        </w:rPr>
        <w:t>支付违约金，并赔偿因违约给对方造成的实际经济损失。</w:t>
      </w:r>
    </w:p>
    <w:p w14:paraId="4BBB6621">
      <w:pPr>
        <w:pStyle w:val="18"/>
        <w:keepNext w:val="0"/>
        <w:keepLines w:val="0"/>
        <w:pageBreakBefore w:val="0"/>
        <w:numPr>
          <w:ilvl w:val="0"/>
          <w:numId w:val="8"/>
        </w:numPr>
        <w:tabs>
          <w:tab w:val="left" w:pos="882"/>
        </w:tabs>
        <w:kinsoku/>
        <w:wordWrap/>
        <w:overflowPunct/>
        <w:topLinePunct w:val="0"/>
        <w:autoSpaceDE/>
        <w:autoSpaceDN/>
        <w:bidi w:val="0"/>
        <w:adjustRightInd/>
        <w:snapToGrid/>
        <w:spacing w:line="500" w:lineRule="exact"/>
        <w:ind w:left="881" w:hanging="538"/>
        <w:jc w:val="left"/>
        <w:rPr>
          <w:color w:val="auto"/>
          <w:sz w:val="21"/>
          <w:szCs w:val="21"/>
          <w:highlight w:val="none"/>
        </w:rPr>
      </w:pPr>
      <w:r>
        <w:rPr>
          <w:color w:val="auto"/>
          <w:szCs w:val="21"/>
          <w:highlight w:val="none"/>
        </w:rPr>
        <w:t xml:space="preserve">因乙方原因造成工期延误，逾期竣工违约金的计算方法为： 每延误一天，乙方支付甲方 </w:t>
      </w:r>
      <w:r>
        <w:rPr>
          <w:rFonts w:ascii="Times New Roman" w:eastAsia="Times New Roman"/>
          <w:color w:val="auto"/>
          <w:szCs w:val="21"/>
          <w:highlight w:val="none"/>
        </w:rPr>
        <w:t>1000</w:t>
      </w:r>
    </w:p>
    <w:p w14:paraId="5FB3F7F9">
      <w:pPr>
        <w:pStyle w:val="2"/>
        <w:keepNext w:val="0"/>
        <w:keepLines w:val="0"/>
        <w:pageBreakBefore w:val="0"/>
        <w:kinsoku/>
        <w:wordWrap/>
        <w:overflowPunct/>
        <w:topLinePunct w:val="0"/>
        <w:autoSpaceDE/>
        <w:autoSpaceDN/>
        <w:bidi w:val="0"/>
        <w:adjustRightInd/>
        <w:snapToGrid/>
        <w:spacing w:line="500" w:lineRule="exact"/>
        <w:ind w:left="132" w:right="424"/>
        <w:rPr>
          <w:color w:val="auto"/>
          <w:sz w:val="21"/>
          <w:szCs w:val="21"/>
          <w:highlight w:val="none"/>
        </w:rPr>
      </w:pPr>
      <w:r>
        <w:rPr>
          <w:color w:val="auto"/>
          <w:sz w:val="21"/>
          <w:szCs w:val="21"/>
          <w:highlight w:val="none"/>
        </w:rPr>
        <w:t xml:space="preserve">元违约金，按照延误天数累计计算，违约金累计最多不超过合同总额的 </w:t>
      </w:r>
      <w:r>
        <w:rPr>
          <w:rFonts w:eastAsia="Times New Roman"/>
          <w:color w:val="auto"/>
          <w:sz w:val="21"/>
          <w:szCs w:val="21"/>
          <w:highlight w:val="none"/>
        </w:rPr>
        <w:t xml:space="preserve">5% </w:t>
      </w:r>
      <w:r>
        <w:rPr>
          <w:color w:val="auto"/>
          <w:sz w:val="21"/>
          <w:szCs w:val="21"/>
          <w:highlight w:val="none"/>
        </w:rPr>
        <w:t>且造成甲方其它损失的另行计算。</w:t>
      </w:r>
    </w:p>
    <w:p w14:paraId="452F06E8">
      <w:pPr>
        <w:pStyle w:val="18"/>
        <w:keepNext w:val="0"/>
        <w:keepLines w:val="0"/>
        <w:pageBreakBefore w:val="0"/>
        <w:numPr>
          <w:ilvl w:val="0"/>
          <w:numId w:val="8"/>
        </w:numPr>
        <w:tabs>
          <w:tab w:val="left" w:pos="869"/>
        </w:tabs>
        <w:kinsoku/>
        <w:wordWrap/>
        <w:overflowPunct/>
        <w:topLinePunct w:val="0"/>
        <w:autoSpaceDE/>
        <w:autoSpaceDN/>
        <w:bidi w:val="0"/>
        <w:adjustRightInd/>
        <w:snapToGrid/>
        <w:spacing w:line="500" w:lineRule="exact"/>
        <w:ind w:left="868" w:hanging="525"/>
        <w:jc w:val="left"/>
        <w:rPr>
          <w:color w:val="auto"/>
          <w:sz w:val="21"/>
          <w:szCs w:val="21"/>
          <w:highlight w:val="none"/>
        </w:rPr>
      </w:pPr>
      <w:r>
        <w:rPr>
          <w:color w:val="auto"/>
          <w:spacing w:val="-7"/>
          <w:szCs w:val="21"/>
          <w:highlight w:val="none"/>
        </w:rPr>
        <w:t xml:space="preserve">承包人应在完工 </w:t>
      </w:r>
      <w:r>
        <w:rPr>
          <w:rFonts w:hint="eastAsia"/>
          <w:color w:val="auto"/>
          <w:spacing w:val="-7"/>
          <w:szCs w:val="21"/>
          <w:highlight w:val="none"/>
          <w:lang w:val="en-US"/>
        </w:rPr>
        <w:t>1</w:t>
      </w:r>
      <w:r>
        <w:rPr>
          <w:color w:val="auto"/>
          <w:spacing w:val="-3"/>
          <w:szCs w:val="21"/>
          <w:highlight w:val="none"/>
        </w:rPr>
        <w:t>个月内完善竣工验收程序且通过验收，如承包人不按时提交，超过规定时间每</w:t>
      </w:r>
    </w:p>
    <w:p w14:paraId="1A82C142">
      <w:pPr>
        <w:pStyle w:val="2"/>
        <w:keepNext w:val="0"/>
        <w:keepLines w:val="0"/>
        <w:pageBreakBefore w:val="0"/>
        <w:kinsoku/>
        <w:wordWrap/>
        <w:overflowPunct/>
        <w:topLinePunct w:val="0"/>
        <w:autoSpaceDE/>
        <w:autoSpaceDN/>
        <w:bidi w:val="0"/>
        <w:adjustRightInd/>
        <w:snapToGrid/>
        <w:spacing w:line="500" w:lineRule="exact"/>
        <w:ind w:left="132"/>
        <w:rPr>
          <w:color w:val="auto"/>
          <w:sz w:val="21"/>
          <w:szCs w:val="21"/>
          <w:highlight w:val="none"/>
        </w:rPr>
      </w:pPr>
      <w:r>
        <w:rPr>
          <w:color w:val="auto"/>
          <w:sz w:val="21"/>
          <w:szCs w:val="21"/>
          <w:highlight w:val="none"/>
        </w:rPr>
        <w:t xml:space="preserve">延误一天承包人支付发包人 </w:t>
      </w:r>
      <w:r>
        <w:rPr>
          <w:rFonts w:eastAsia="Times New Roman"/>
          <w:color w:val="auto"/>
          <w:sz w:val="21"/>
          <w:szCs w:val="21"/>
          <w:highlight w:val="none"/>
        </w:rPr>
        <w:t xml:space="preserve">1000 </w:t>
      </w:r>
      <w:r>
        <w:rPr>
          <w:color w:val="auto"/>
          <w:sz w:val="21"/>
          <w:szCs w:val="21"/>
          <w:highlight w:val="none"/>
        </w:rPr>
        <w:t>元违约金。</w:t>
      </w:r>
    </w:p>
    <w:p w14:paraId="6A523F67">
      <w:pPr>
        <w:pStyle w:val="18"/>
        <w:keepNext w:val="0"/>
        <w:keepLines w:val="0"/>
        <w:pageBreakBefore w:val="0"/>
        <w:numPr>
          <w:ilvl w:val="0"/>
          <w:numId w:val="8"/>
        </w:numPr>
        <w:tabs>
          <w:tab w:val="left" w:pos="869"/>
        </w:tabs>
        <w:kinsoku/>
        <w:wordWrap/>
        <w:overflowPunct/>
        <w:topLinePunct w:val="0"/>
        <w:autoSpaceDE/>
        <w:autoSpaceDN/>
        <w:bidi w:val="0"/>
        <w:adjustRightInd/>
        <w:snapToGrid/>
        <w:spacing w:line="500" w:lineRule="exact"/>
        <w:ind w:left="868" w:hanging="525"/>
        <w:jc w:val="left"/>
        <w:rPr>
          <w:color w:val="auto"/>
          <w:sz w:val="21"/>
          <w:szCs w:val="21"/>
          <w:highlight w:val="none"/>
        </w:rPr>
      </w:pPr>
      <w:r>
        <w:rPr>
          <w:color w:val="auto"/>
          <w:spacing w:val="-2"/>
          <w:szCs w:val="21"/>
          <w:highlight w:val="none"/>
        </w:rPr>
        <w:t>承包人有安全问题或有违反安全管理规章制度情况的违约责任：根据具体情节，按签约合同价的</w:t>
      </w:r>
    </w:p>
    <w:p w14:paraId="30D7B9E7">
      <w:pPr>
        <w:pStyle w:val="18"/>
        <w:keepNext w:val="0"/>
        <w:keepLines w:val="0"/>
        <w:pageBreakBefore w:val="0"/>
        <w:numPr>
          <w:ilvl w:val="1"/>
          <w:numId w:val="9"/>
        </w:numPr>
        <w:tabs>
          <w:tab w:val="left" w:pos="397"/>
        </w:tabs>
        <w:kinsoku/>
        <w:wordWrap/>
        <w:overflowPunct/>
        <w:topLinePunct w:val="0"/>
        <w:autoSpaceDE/>
        <w:autoSpaceDN/>
        <w:bidi w:val="0"/>
        <w:adjustRightInd/>
        <w:snapToGrid/>
        <w:spacing w:before="1" w:line="500" w:lineRule="exact"/>
        <w:ind w:hanging="265"/>
        <w:jc w:val="left"/>
        <w:rPr>
          <w:color w:val="auto"/>
          <w:sz w:val="21"/>
          <w:szCs w:val="21"/>
          <w:highlight w:val="none"/>
        </w:rPr>
      </w:pPr>
      <w:r>
        <w:rPr>
          <w:color w:val="auto"/>
          <w:szCs w:val="21"/>
          <w:highlight w:val="none"/>
        </w:rPr>
        <w:t>‰～</w:t>
      </w:r>
      <w:r>
        <w:rPr>
          <w:rFonts w:ascii="Times New Roman" w:hAnsi="Times New Roman" w:eastAsia="Times New Roman"/>
          <w:color w:val="auto"/>
          <w:szCs w:val="21"/>
          <w:highlight w:val="none"/>
        </w:rPr>
        <w:t>4</w:t>
      </w:r>
      <w:r>
        <w:rPr>
          <w:color w:val="auto"/>
          <w:szCs w:val="21"/>
          <w:highlight w:val="none"/>
        </w:rPr>
        <w:t>‰</w:t>
      </w:r>
      <w:r>
        <w:rPr>
          <w:rFonts w:ascii="Times New Roman" w:hAnsi="Times New Roman" w:eastAsia="Times New Roman"/>
          <w:color w:val="auto"/>
          <w:szCs w:val="21"/>
          <w:highlight w:val="none"/>
        </w:rPr>
        <w:t>/</w:t>
      </w:r>
      <w:r>
        <w:rPr>
          <w:color w:val="auto"/>
          <w:szCs w:val="21"/>
          <w:highlight w:val="none"/>
        </w:rPr>
        <w:t>次支付违约金（</w:t>
      </w:r>
      <w:r>
        <w:rPr>
          <w:color w:val="auto"/>
          <w:spacing w:val="-5"/>
          <w:szCs w:val="21"/>
          <w:highlight w:val="none"/>
        </w:rPr>
        <w:t xml:space="preserve">累计不超过签约合同价的 </w:t>
      </w:r>
      <w:r>
        <w:rPr>
          <w:rFonts w:ascii="Times New Roman" w:hAnsi="Times New Roman" w:eastAsia="Times New Roman"/>
          <w:color w:val="auto"/>
          <w:szCs w:val="21"/>
          <w:highlight w:val="none"/>
        </w:rPr>
        <w:t>1%</w:t>
      </w:r>
      <w:r>
        <w:rPr>
          <w:color w:val="auto"/>
          <w:spacing w:val="-9"/>
          <w:szCs w:val="21"/>
          <w:highlight w:val="none"/>
        </w:rPr>
        <w:t xml:space="preserve">，详见附件 </w:t>
      </w:r>
      <w:r>
        <w:rPr>
          <w:rFonts w:ascii="Times New Roman" w:hAnsi="Times New Roman" w:eastAsia="Times New Roman"/>
          <w:color w:val="auto"/>
          <w:szCs w:val="21"/>
          <w:highlight w:val="none"/>
        </w:rPr>
        <w:t>3</w:t>
      </w:r>
      <w:r>
        <w:rPr>
          <w:rFonts w:ascii="Times New Roman" w:hAnsi="Times New Roman" w:eastAsia="Times New Roman"/>
          <w:color w:val="auto"/>
          <w:spacing w:val="1"/>
          <w:szCs w:val="21"/>
          <w:highlight w:val="none"/>
        </w:rPr>
        <w:t xml:space="preserve"> </w:t>
      </w:r>
      <w:r>
        <w:rPr>
          <w:color w:val="auto"/>
          <w:szCs w:val="21"/>
          <w:highlight w:val="none"/>
        </w:rPr>
        <w:t>安全管理协议）。</w:t>
      </w:r>
    </w:p>
    <w:p w14:paraId="1CB60BA6">
      <w:pPr>
        <w:pStyle w:val="2"/>
        <w:keepNext w:val="0"/>
        <w:keepLines w:val="0"/>
        <w:pageBreakBefore w:val="0"/>
        <w:kinsoku/>
        <w:wordWrap/>
        <w:overflowPunct/>
        <w:topLinePunct w:val="0"/>
        <w:autoSpaceDE/>
        <w:autoSpaceDN/>
        <w:bidi w:val="0"/>
        <w:adjustRightInd/>
        <w:snapToGrid/>
        <w:spacing w:line="500" w:lineRule="exact"/>
        <w:ind w:left="552"/>
        <w:rPr>
          <w:color w:val="auto"/>
          <w:sz w:val="21"/>
          <w:szCs w:val="21"/>
          <w:highlight w:val="none"/>
        </w:rPr>
      </w:pPr>
      <w:r>
        <w:rPr>
          <w:rFonts w:eastAsia="Times New Roman"/>
          <w:color w:val="auto"/>
          <w:sz w:val="21"/>
          <w:szCs w:val="21"/>
          <w:highlight w:val="none"/>
        </w:rPr>
        <w:t>2</w:t>
      </w:r>
      <w:r>
        <w:rPr>
          <w:color w:val="auto"/>
          <w:sz w:val="21"/>
          <w:szCs w:val="21"/>
          <w:highlight w:val="none"/>
        </w:rPr>
        <w:t>、甲方违约责任的承担方式和计算方法：</w:t>
      </w:r>
    </w:p>
    <w:p w14:paraId="32C2C5FC">
      <w:pPr>
        <w:pStyle w:val="18"/>
        <w:keepNext w:val="0"/>
        <w:keepLines w:val="0"/>
        <w:pageBreakBefore w:val="0"/>
        <w:numPr>
          <w:ilvl w:val="2"/>
          <w:numId w:val="9"/>
        </w:numPr>
        <w:tabs>
          <w:tab w:val="left" w:pos="1080"/>
        </w:tabs>
        <w:kinsoku/>
        <w:wordWrap/>
        <w:overflowPunct/>
        <w:topLinePunct w:val="0"/>
        <w:autoSpaceDE/>
        <w:autoSpaceDN/>
        <w:bidi w:val="0"/>
        <w:adjustRightInd/>
        <w:snapToGrid/>
        <w:spacing w:line="500" w:lineRule="exact"/>
        <w:ind w:right="424" w:firstLine="420"/>
        <w:rPr>
          <w:color w:val="auto"/>
          <w:szCs w:val="21"/>
          <w:highlight w:val="none"/>
        </w:rPr>
      </w:pPr>
      <w:r>
        <w:rPr>
          <w:color w:val="auto"/>
          <w:spacing w:val="-2"/>
          <w:szCs w:val="21"/>
          <w:highlight w:val="none"/>
        </w:rPr>
        <w:t>如因甲方原因造成的停工，工期相应顺延；如乙方拒不执行逾期竣工违约金处罚，甲方有权解</w:t>
      </w:r>
      <w:r>
        <w:rPr>
          <w:color w:val="auto"/>
          <w:spacing w:val="-4"/>
          <w:szCs w:val="21"/>
          <w:highlight w:val="none"/>
        </w:rPr>
        <w:t>除合同，并责令乙方限期撤场</w:t>
      </w:r>
      <w:r>
        <w:rPr>
          <w:rFonts w:hint="eastAsia"/>
          <w:color w:val="auto"/>
          <w:szCs w:val="21"/>
          <w:highlight w:val="none"/>
          <w:lang w:eastAsia="zh-CN"/>
        </w:rPr>
        <w:t>；</w:t>
      </w:r>
    </w:p>
    <w:p w14:paraId="188996E7">
      <w:pPr>
        <w:pStyle w:val="18"/>
        <w:keepNext w:val="0"/>
        <w:keepLines w:val="0"/>
        <w:pageBreakBefore w:val="0"/>
        <w:numPr>
          <w:ilvl w:val="2"/>
          <w:numId w:val="9"/>
        </w:numPr>
        <w:tabs>
          <w:tab w:val="left" w:pos="1080"/>
        </w:tabs>
        <w:kinsoku/>
        <w:wordWrap/>
        <w:overflowPunct/>
        <w:topLinePunct w:val="0"/>
        <w:autoSpaceDE/>
        <w:autoSpaceDN/>
        <w:bidi w:val="0"/>
        <w:adjustRightInd/>
        <w:snapToGrid/>
        <w:spacing w:line="500" w:lineRule="exact"/>
        <w:ind w:left="1079" w:hanging="528"/>
        <w:jc w:val="left"/>
        <w:rPr>
          <w:color w:val="auto"/>
          <w:szCs w:val="21"/>
          <w:highlight w:val="none"/>
        </w:rPr>
      </w:pPr>
      <w:r>
        <w:rPr>
          <w:color w:val="auto"/>
          <w:szCs w:val="21"/>
          <w:highlight w:val="none"/>
        </w:rPr>
        <w:t>甲方</w:t>
      </w:r>
      <w:r>
        <w:rPr>
          <w:rFonts w:hint="eastAsia"/>
          <w:color w:val="auto"/>
          <w:szCs w:val="21"/>
          <w:highlight w:val="none"/>
          <w:lang w:val="en-US" w:eastAsia="zh-CN"/>
        </w:rPr>
        <w:t>若未按时支付剩余工程款</w:t>
      </w:r>
      <w:r>
        <w:rPr>
          <w:color w:val="auto"/>
          <w:szCs w:val="21"/>
          <w:highlight w:val="none"/>
        </w:rPr>
        <w:t>，</w:t>
      </w:r>
      <w:r>
        <w:rPr>
          <w:rFonts w:hint="eastAsia"/>
          <w:color w:val="auto"/>
          <w:szCs w:val="21"/>
          <w:highlight w:val="none"/>
          <w:lang w:val="en-US" w:eastAsia="zh-CN"/>
        </w:rPr>
        <w:t>剩余工程款以每个季度按万分之一支付给乙方违约金</w:t>
      </w:r>
      <w:r>
        <w:rPr>
          <w:color w:val="auto"/>
          <w:szCs w:val="21"/>
          <w:highlight w:val="none"/>
        </w:rPr>
        <w:t>。</w:t>
      </w:r>
    </w:p>
    <w:p w14:paraId="1C0AB8A6">
      <w:pPr>
        <w:pStyle w:val="8"/>
        <w:keepNext w:val="0"/>
        <w:keepLines w:val="0"/>
        <w:pageBreakBefore w:val="0"/>
        <w:kinsoku/>
        <w:wordWrap/>
        <w:overflowPunct/>
        <w:topLinePunct w:val="0"/>
        <w:autoSpaceDE/>
        <w:autoSpaceDN/>
        <w:bidi w:val="0"/>
        <w:adjustRightInd/>
        <w:snapToGrid/>
        <w:spacing w:before="181" w:line="500" w:lineRule="exact"/>
        <w:ind w:left="0" w:leftChars="0" w:firstLine="422" w:firstLineChars="200"/>
        <w:rPr>
          <w:color w:val="auto"/>
          <w:sz w:val="21"/>
          <w:szCs w:val="21"/>
          <w:highlight w:val="none"/>
        </w:rPr>
      </w:pPr>
      <w:r>
        <w:rPr>
          <w:color w:val="auto"/>
          <w:sz w:val="21"/>
          <w:szCs w:val="21"/>
          <w:highlight w:val="none"/>
        </w:rPr>
        <w:t>十</w:t>
      </w:r>
      <w:r>
        <w:rPr>
          <w:rFonts w:hint="eastAsia"/>
          <w:color w:val="auto"/>
          <w:sz w:val="21"/>
          <w:szCs w:val="21"/>
          <w:highlight w:val="none"/>
          <w:lang w:val="en-US" w:eastAsia="zh-CN"/>
        </w:rPr>
        <w:t>三</w:t>
      </w:r>
      <w:r>
        <w:rPr>
          <w:color w:val="auto"/>
          <w:sz w:val="21"/>
          <w:szCs w:val="21"/>
          <w:highlight w:val="none"/>
        </w:rPr>
        <w:t>、争议解决</w:t>
      </w:r>
    </w:p>
    <w:p w14:paraId="25B9E6B6">
      <w:pPr>
        <w:pStyle w:val="2"/>
        <w:keepNext w:val="0"/>
        <w:keepLines w:val="0"/>
        <w:pageBreakBefore w:val="0"/>
        <w:kinsoku/>
        <w:wordWrap/>
        <w:overflowPunct/>
        <w:topLinePunct w:val="0"/>
        <w:autoSpaceDE/>
        <w:autoSpaceDN/>
        <w:bidi w:val="0"/>
        <w:adjustRightInd/>
        <w:snapToGrid/>
        <w:spacing w:before="178" w:line="500" w:lineRule="exact"/>
        <w:ind w:left="132" w:right="425" w:firstLine="420"/>
        <w:rPr>
          <w:color w:val="auto"/>
          <w:sz w:val="21"/>
          <w:szCs w:val="21"/>
          <w:highlight w:val="none"/>
        </w:rPr>
      </w:pPr>
      <w:r>
        <w:rPr>
          <w:color w:val="auto"/>
          <w:spacing w:val="-13"/>
          <w:sz w:val="21"/>
          <w:szCs w:val="21"/>
          <w:highlight w:val="none"/>
        </w:rPr>
        <w:t>因本合同引起的或与本合同有关的任何争议，合同双方友好协商，协商不成，可依法向项目所在地 彭</w:t>
      </w:r>
      <w:r>
        <w:rPr>
          <w:color w:val="auto"/>
          <w:spacing w:val="-5"/>
          <w:sz w:val="21"/>
          <w:szCs w:val="21"/>
          <w:highlight w:val="none"/>
        </w:rPr>
        <w:t>水县人民法院提起诉讼。</w:t>
      </w:r>
    </w:p>
    <w:p w14:paraId="56EEF40E">
      <w:pPr>
        <w:pStyle w:val="8"/>
        <w:keepNext w:val="0"/>
        <w:keepLines w:val="0"/>
        <w:pageBreakBefore w:val="0"/>
        <w:kinsoku/>
        <w:wordWrap/>
        <w:overflowPunct/>
        <w:topLinePunct w:val="0"/>
        <w:autoSpaceDE/>
        <w:autoSpaceDN/>
        <w:bidi w:val="0"/>
        <w:adjustRightInd/>
        <w:snapToGrid/>
        <w:spacing w:line="500" w:lineRule="exact"/>
        <w:ind w:left="488"/>
        <w:rPr>
          <w:color w:val="auto"/>
          <w:sz w:val="21"/>
          <w:szCs w:val="21"/>
          <w:highlight w:val="none"/>
        </w:rPr>
      </w:pPr>
      <w:r>
        <w:rPr>
          <w:color w:val="auto"/>
          <w:sz w:val="21"/>
          <w:szCs w:val="21"/>
          <w:highlight w:val="none"/>
        </w:rPr>
        <w:t>十</w:t>
      </w:r>
      <w:r>
        <w:rPr>
          <w:rFonts w:hint="eastAsia"/>
          <w:color w:val="auto"/>
          <w:sz w:val="21"/>
          <w:szCs w:val="21"/>
          <w:highlight w:val="none"/>
          <w:lang w:val="en-US" w:eastAsia="zh-CN"/>
        </w:rPr>
        <w:t>四</w:t>
      </w:r>
      <w:r>
        <w:rPr>
          <w:color w:val="auto"/>
          <w:sz w:val="21"/>
          <w:szCs w:val="21"/>
          <w:highlight w:val="none"/>
        </w:rPr>
        <w:t>、合同生效及终止</w:t>
      </w:r>
    </w:p>
    <w:p w14:paraId="33D494F0">
      <w:pPr>
        <w:pStyle w:val="2"/>
        <w:keepNext w:val="0"/>
        <w:keepLines w:val="0"/>
        <w:pageBreakBefore w:val="0"/>
        <w:kinsoku/>
        <w:wordWrap/>
        <w:overflowPunct/>
        <w:topLinePunct w:val="0"/>
        <w:autoSpaceDE/>
        <w:autoSpaceDN/>
        <w:bidi w:val="0"/>
        <w:adjustRightInd/>
        <w:snapToGrid/>
        <w:spacing w:before="179" w:line="500" w:lineRule="exact"/>
        <w:ind w:left="132" w:right="426" w:firstLine="420"/>
        <w:rPr>
          <w:color w:val="auto"/>
          <w:sz w:val="21"/>
          <w:szCs w:val="21"/>
          <w:highlight w:val="none"/>
        </w:rPr>
      </w:pPr>
      <w:r>
        <w:rPr>
          <w:color w:val="auto"/>
          <w:sz w:val="21"/>
          <w:szCs w:val="21"/>
          <w:highlight w:val="none"/>
        </w:rPr>
        <w:t>本合同经甲、乙双方法定代表人或授权代理人签字并加盖合同章或公章后生效，缺陷责任期满经竣工验收合格并完善结算审计，由甲方支付完合同价款及质保金后本合同失效。</w:t>
      </w:r>
    </w:p>
    <w:p w14:paraId="57CF33A5">
      <w:pPr>
        <w:pStyle w:val="8"/>
        <w:keepNext w:val="0"/>
        <w:keepLines w:val="0"/>
        <w:pageBreakBefore w:val="0"/>
        <w:kinsoku/>
        <w:wordWrap/>
        <w:overflowPunct/>
        <w:topLinePunct w:val="0"/>
        <w:autoSpaceDE/>
        <w:autoSpaceDN/>
        <w:bidi w:val="0"/>
        <w:adjustRightInd/>
        <w:snapToGrid/>
        <w:spacing w:line="500" w:lineRule="exact"/>
        <w:ind w:left="608"/>
        <w:rPr>
          <w:color w:val="auto"/>
          <w:sz w:val="21"/>
          <w:szCs w:val="21"/>
          <w:highlight w:val="none"/>
        </w:rPr>
      </w:pPr>
      <w:r>
        <w:rPr>
          <w:color w:val="auto"/>
          <w:sz w:val="21"/>
          <w:szCs w:val="21"/>
          <w:highlight w:val="none"/>
        </w:rPr>
        <w:t>十</w:t>
      </w:r>
      <w:r>
        <w:rPr>
          <w:rFonts w:hint="eastAsia"/>
          <w:color w:val="auto"/>
          <w:sz w:val="21"/>
          <w:szCs w:val="21"/>
          <w:highlight w:val="none"/>
          <w:lang w:val="en-US" w:eastAsia="zh-CN"/>
        </w:rPr>
        <w:t>五</w:t>
      </w:r>
      <w:r>
        <w:rPr>
          <w:color w:val="auto"/>
          <w:sz w:val="21"/>
          <w:szCs w:val="21"/>
          <w:highlight w:val="none"/>
        </w:rPr>
        <w:t>、其他</w:t>
      </w:r>
    </w:p>
    <w:p w14:paraId="7650A504">
      <w:pPr>
        <w:pStyle w:val="2"/>
        <w:keepNext w:val="0"/>
        <w:keepLines w:val="0"/>
        <w:pageBreakBefore w:val="0"/>
        <w:kinsoku/>
        <w:wordWrap/>
        <w:overflowPunct/>
        <w:topLinePunct w:val="0"/>
        <w:autoSpaceDE/>
        <w:autoSpaceDN/>
        <w:bidi w:val="0"/>
        <w:adjustRightInd/>
        <w:snapToGrid/>
        <w:spacing w:before="178" w:line="500" w:lineRule="exact"/>
        <w:ind w:left="132" w:right="425" w:firstLine="420"/>
        <w:rPr>
          <w:color w:val="auto"/>
          <w:sz w:val="21"/>
          <w:szCs w:val="21"/>
          <w:highlight w:val="none"/>
        </w:rPr>
      </w:pPr>
      <w:r>
        <w:rPr>
          <w:color w:val="auto"/>
          <w:w w:val="95"/>
          <w:sz w:val="21"/>
          <w:szCs w:val="21"/>
          <w:highlight w:val="none"/>
        </w:rPr>
        <w:t>1</w:t>
      </w:r>
      <w:r>
        <w:rPr>
          <w:color w:val="auto"/>
          <w:spacing w:val="-9"/>
          <w:w w:val="95"/>
          <w:sz w:val="21"/>
          <w:szCs w:val="21"/>
          <w:highlight w:val="none"/>
        </w:rPr>
        <w:t>、</w:t>
      </w:r>
      <w:r>
        <w:rPr>
          <w:rFonts w:ascii="宋体" w:hAnsi="宋体" w:cs="宋体"/>
          <w:color w:val="auto"/>
          <w:spacing w:val="-2"/>
          <w:sz w:val="21"/>
          <w:szCs w:val="21"/>
          <w:highlight w:val="none"/>
          <w:lang w:val="zh-CN" w:bidi="zh-CN"/>
        </w:rPr>
        <w:t>乙方应根据施工需要，负责取得施工现场场内所需的批准手续和全部权利，以及取得施工场内因</w:t>
      </w:r>
      <w:r>
        <w:rPr>
          <w:color w:val="auto"/>
          <w:spacing w:val="-9"/>
          <w:sz w:val="21"/>
          <w:szCs w:val="21"/>
          <w:highlight w:val="none"/>
        </w:rPr>
        <w:t>施工所需修建道路以及其他基础设施的权利，并承担相关费用，甲方和监理人有权无偿使用乙方修建的临时道路和交通设施，不需要交纳任何费用。</w:t>
      </w:r>
    </w:p>
    <w:p w14:paraId="3D09AC8D">
      <w:pPr>
        <w:pStyle w:val="2"/>
        <w:keepNext w:val="0"/>
        <w:keepLines w:val="0"/>
        <w:pageBreakBefore w:val="0"/>
        <w:kinsoku/>
        <w:wordWrap/>
        <w:overflowPunct/>
        <w:topLinePunct w:val="0"/>
        <w:autoSpaceDE/>
        <w:autoSpaceDN/>
        <w:bidi w:val="0"/>
        <w:adjustRightInd/>
        <w:snapToGrid/>
        <w:spacing w:line="500" w:lineRule="exact"/>
        <w:ind w:left="552"/>
        <w:rPr>
          <w:color w:val="auto"/>
          <w:sz w:val="21"/>
          <w:szCs w:val="21"/>
          <w:highlight w:val="none"/>
        </w:rPr>
      </w:pPr>
      <w:r>
        <w:rPr>
          <w:color w:val="auto"/>
          <w:sz w:val="21"/>
          <w:szCs w:val="21"/>
          <w:highlight w:val="none"/>
        </w:rPr>
        <w:t>2、本合同未约定事项参照《重庆市房屋建筑和市政基础设施工程施工标准招标文件》（2020版）示范文本第二章《通用合同条款》相应条款执行，由甲乙双方共同协商后另行签订补充协议，且同具法律效力。</w:t>
      </w:r>
    </w:p>
    <w:p w14:paraId="2979FE91">
      <w:pPr>
        <w:pStyle w:val="8"/>
        <w:keepNext w:val="0"/>
        <w:keepLines w:val="0"/>
        <w:pageBreakBefore w:val="0"/>
        <w:kinsoku/>
        <w:wordWrap/>
        <w:overflowPunct/>
        <w:topLinePunct w:val="0"/>
        <w:autoSpaceDE/>
        <w:autoSpaceDN/>
        <w:bidi w:val="0"/>
        <w:adjustRightInd/>
        <w:snapToGrid/>
        <w:spacing w:line="500" w:lineRule="exact"/>
        <w:ind w:left="538"/>
        <w:rPr>
          <w:color w:val="auto"/>
          <w:sz w:val="21"/>
          <w:szCs w:val="21"/>
          <w:highlight w:val="none"/>
        </w:rPr>
      </w:pPr>
      <w:r>
        <w:rPr>
          <w:color w:val="auto"/>
          <w:sz w:val="21"/>
          <w:szCs w:val="21"/>
          <w:highlight w:val="none"/>
        </w:rPr>
        <w:t>十</w:t>
      </w:r>
      <w:r>
        <w:rPr>
          <w:rFonts w:hint="eastAsia"/>
          <w:color w:val="auto"/>
          <w:sz w:val="21"/>
          <w:szCs w:val="21"/>
          <w:highlight w:val="none"/>
          <w:lang w:val="en-US" w:eastAsia="zh-CN"/>
        </w:rPr>
        <w:t>六</w:t>
      </w:r>
      <w:r>
        <w:rPr>
          <w:color w:val="auto"/>
          <w:sz w:val="21"/>
          <w:szCs w:val="21"/>
          <w:highlight w:val="none"/>
        </w:rPr>
        <w:t>、合同份数</w:t>
      </w:r>
    </w:p>
    <w:p w14:paraId="40BF2D81">
      <w:pPr>
        <w:pStyle w:val="2"/>
        <w:keepNext w:val="0"/>
        <w:keepLines w:val="0"/>
        <w:pageBreakBefore w:val="0"/>
        <w:kinsoku/>
        <w:wordWrap/>
        <w:overflowPunct/>
        <w:topLinePunct w:val="0"/>
        <w:autoSpaceDE/>
        <w:autoSpaceDN/>
        <w:bidi w:val="0"/>
        <w:adjustRightInd/>
        <w:snapToGrid/>
        <w:spacing w:before="178" w:line="500" w:lineRule="exact"/>
        <w:ind w:left="723"/>
        <w:rPr>
          <w:color w:val="auto"/>
          <w:sz w:val="21"/>
          <w:szCs w:val="21"/>
          <w:highlight w:val="none"/>
        </w:rPr>
      </w:pPr>
      <w:r>
        <w:rPr>
          <w:color w:val="auto"/>
          <w:sz w:val="21"/>
          <w:szCs w:val="21"/>
          <w:highlight w:val="none"/>
        </w:rPr>
        <w:t>本合同一式陆份，甲方执叁份，乙方执叁份。</w:t>
      </w:r>
    </w:p>
    <w:p w14:paraId="7AEED931">
      <w:pPr>
        <w:pStyle w:val="2"/>
        <w:spacing w:before="5"/>
        <w:rPr>
          <w:color w:val="auto"/>
          <w:sz w:val="21"/>
          <w:szCs w:val="21"/>
          <w:highlight w:val="none"/>
        </w:rPr>
      </w:pPr>
    </w:p>
    <w:p w14:paraId="594CE148">
      <w:pPr>
        <w:pStyle w:val="2"/>
        <w:tabs>
          <w:tab w:val="left" w:pos="6394"/>
        </w:tabs>
        <w:spacing w:before="152"/>
        <w:rPr>
          <w:color w:val="auto"/>
          <w:sz w:val="21"/>
          <w:szCs w:val="21"/>
          <w:highlight w:val="none"/>
        </w:rPr>
      </w:pPr>
      <w:r>
        <w:rPr>
          <w:rFonts w:hint="eastAsia"/>
          <w:color w:val="auto"/>
          <w:sz w:val="21"/>
          <w:szCs w:val="21"/>
          <w:highlight w:val="none"/>
          <w:lang w:val="en-US" w:eastAsia="zh-CN"/>
        </w:rPr>
        <w:t>甲方</w:t>
      </w:r>
      <w:r>
        <w:rPr>
          <w:color w:val="auto"/>
          <w:sz w:val="21"/>
          <w:szCs w:val="21"/>
          <w:highlight w:val="none"/>
        </w:rPr>
        <w:t>：</w:t>
      </w:r>
      <w:r>
        <w:rPr>
          <w:rFonts w:hint="eastAsia"/>
          <w:color w:val="auto"/>
          <w:sz w:val="21"/>
          <w:szCs w:val="21"/>
          <w:highlight w:val="none"/>
          <w:u w:val="single"/>
          <w:lang w:val="en-US" w:eastAsia="zh-CN"/>
        </w:rPr>
        <w:t xml:space="preserve">                         </w:t>
      </w:r>
      <w:r>
        <w:rPr>
          <w:color w:val="auto"/>
          <w:sz w:val="21"/>
          <w:szCs w:val="21"/>
          <w:highlight w:val="none"/>
        </w:rPr>
        <w:t>（公章）</w:t>
      </w:r>
      <w:r>
        <w:rPr>
          <w:rFonts w:hint="eastAsia"/>
          <w:color w:val="auto"/>
          <w:sz w:val="21"/>
          <w:szCs w:val="21"/>
          <w:highlight w:val="none"/>
          <w:lang w:val="en-US" w:eastAsia="zh-CN"/>
        </w:rPr>
        <w:t xml:space="preserve">                 乙方</w:t>
      </w:r>
      <w:r>
        <w:rPr>
          <w:color w:val="auto"/>
          <w:sz w:val="21"/>
          <w:szCs w:val="21"/>
          <w:highlight w:val="none"/>
        </w:rPr>
        <w:t>：</w:t>
      </w:r>
      <w:r>
        <w:rPr>
          <w:rFonts w:hint="eastAsia"/>
          <w:color w:val="auto"/>
          <w:sz w:val="21"/>
          <w:szCs w:val="21"/>
          <w:highlight w:val="none"/>
          <w:u w:val="single"/>
          <w:lang w:val="en-US" w:eastAsia="zh-CN"/>
        </w:rPr>
        <w:t xml:space="preserve">                   </w:t>
      </w:r>
      <w:r>
        <w:rPr>
          <w:color w:val="auto"/>
          <w:sz w:val="21"/>
          <w:szCs w:val="21"/>
          <w:highlight w:val="none"/>
        </w:rPr>
        <w:t>（公章）</w:t>
      </w:r>
    </w:p>
    <w:p w14:paraId="459D3111">
      <w:pPr>
        <w:pStyle w:val="2"/>
        <w:tabs>
          <w:tab w:val="left" w:pos="5880"/>
        </w:tabs>
        <w:rPr>
          <w:color w:val="auto"/>
          <w:sz w:val="21"/>
          <w:szCs w:val="21"/>
          <w:highlight w:val="none"/>
        </w:rPr>
      </w:pPr>
    </w:p>
    <w:p w14:paraId="69D0FED6">
      <w:pPr>
        <w:pStyle w:val="2"/>
        <w:tabs>
          <w:tab w:val="left" w:pos="5974"/>
        </w:tabs>
        <w:rPr>
          <w:color w:val="auto"/>
          <w:sz w:val="21"/>
          <w:szCs w:val="21"/>
          <w:highlight w:val="none"/>
        </w:rPr>
      </w:pPr>
      <w:r>
        <w:rPr>
          <w:color w:val="auto"/>
          <w:sz w:val="21"/>
          <w:szCs w:val="21"/>
          <w:highlight w:val="none"/>
        </w:rPr>
        <w:t>法定代表人</w:t>
      </w:r>
      <w:r>
        <w:rPr>
          <w:color w:val="auto"/>
          <w:sz w:val="21"/>
          <w:szCs w:val="21"/>
          <w:highlight w:val="none"/>
        </w:rPr>
        <w:tab/>
      </w:r>
      <w:r>
        <w:rPr>
          <w:color w:val="auto"/>
          <w:sz w:val="21"/>
          <w:szCs w:val="21"/>
          <w:highlight w:val="none"/>
        </w:rPr>
        <w:t>法定代表人</w:t>
      </w:r>
    </w:p>
    <w:p w14:paraId="352583E3">
      <w:pPr>
        <w:pStyle w:val="2"/>
        <w:spacing w:before="9"/>
        <w:rPr>
          <w:color w:val="auto"/>
          <w:sz w:val="21"/>
          <w:szCs w:val="21"/>
          <w:highlight w:val="none"/>
        </w:rPr>
      </w:pPr>
    </w:p>
    <w:p w14:paraId="7989C5DD">
      <w:pPr>
        <w:pStyle w:val="2"/>
        <w:tabs>
          <w:tab w:val="left" w:pos="2823"/>
          <w:tab w:val="left" w:pos="5974"/>
          <w:tab w:val="left" w:pos="8914"/>
        </w:tabs>
        <w:rPr>
          <w:color w:val="auto"/>
          <w:sz w:val="21"/>
          <w:szCs w:val="21"/>
          <w:highlight w:val="none"/>
        </w:rPr>
      </w:pPr>
      <w:r>
        <w:rPr>
          <w:color w:val="auto"/>
          <w:sz w:val="21"/>
          <w:szCs w:val="21"/>
          <w:highlight w:val="none"/>
        </w:rPr>
        <w:t>或其委托代理人：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（签字）</w:t>
      </w:r>
      <w:r>
        <w:rPr>
          <w:color w:val="auto"/>
          <w:sz w:val="21"/>
          <w:szCs w:val="21"/>
          <w:highlight w:val="none"/>
        </w:rPr>
        <w:tab/>
      </w:r>
      <w:r>
        <w:rPr>
          <w:color w:val="auto"/>
          <w:sz w:val="21"/>
          <w:szCs w:val="21"/>
          <w:highlight w:val="none"/>
        </w:rPr>
        <w:t>或其委托代理人：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（签字）</w:t>
      </w:r>
    </w:p>
    <w:p w14:paraId="30588C91">
      <w:pPr>
        <w:pStyle w:val="2"/>
        <w:spacing w:before="7"/>
        <w:rPr>
          <w:color w:val="auto"/>
          <w:sz w:val="21"/>
          <w:szCs w:val="21"/>
          <w:highlight w:val="none"/>
        </w:rPr>
      </w:pPr>
    </w:p>
    <w:p w14:paraId="3D16D289">
      <w:pPr>
        <w:pStyle w:val="2"/>
        <w:tabs>
          <w:tab w:val="left" w:pos="5974"/>
        </w:tabs>
        <w:rPr>
          <w:rFonts w:ascii="Times New Roman" w:hAnsi="Times New Roman" w:eastAsia="宋体" w:cs="Times New Roman"/>
          <w:color w:val="auto"/>
          <w:sz w:val="21"/>
          <w:szCs w:val="21"/>
          <w:highlight w:val="none"/>
        </w:rPr>
      </w:pPr>
      <w:r>
        <w:rPr>
          <w:color w:val="auto"/>
          <w:sz w:val="21"/>
          <w:szCs w:val="21"/>
          <w:highlight w:val="none"/>
        </w:rPr>
        <w:t>地址：</w:t>
      </w:r>
      <w:r>
        <w:rPr>
          <w:color w:val="auto"/>
          <w:sz w:val="21"/>
          <w:szCs w:val="21"/>
          <w:highlight w:val="none"/>
        </w:rPr>
        <w:tab/>
      </w:r>
      <w:r>
        <w:rPr>
          <w:rFonts w:ascii="Times New Roman" w:hAnsi="Times New Roman" w:eastAsia="宋体" w:cs="Times New Roman"/>
          <w:color w:val="auto"/>
          <w:sz w:val="21"/>
          <w:szCs w:val="21"/>
          <w:highlight w:val="none"/>
        </w:rPr>
        <w:t>地址：</w:t>
      </w:r>
    </w:p>
    <w:p w14:paraId="00F50A97">
      <w:pPr>
        <w:pStyle w:val="2"/>
        <w:spacing w:before="4"/>
        <w:rPr>
          <w:color w:val="auto"/>
          <w:sz w:val="21"/>
          <w:szCs w:val="21"/>
          <w:highlight w:val="none"/>
        </w:rPr>
      </w:pPr>
    </w:p>
    <w:p w14:paraId="500BBDCF">
      <w:pPr>
        <w:pStyle w:val="2"/>
        <w:tabs>
          <w:tab w:val="left" w:pos="5974"/>
        </w:tabs>
        <w:rPr>
          <w:color w:val="auto"/>
          <w:sz w:val="21"/>
          <w:szCs w:val="21"/>
          <w:highlight w:val="none"/>
        </w:rPr>
      </w:pPr>
      <w:r>
        <w:rPr>
          <w:color w:val="auto"/>
          <w:sz w:val="21"/>
          <w:szCs w:val="21"/>
          <w:highlight w:val="none"/>
        </w:rPr>
        <w:t>电话：</w:t>
      </w:r>
      <w:r>
        <w:rPr>
          <w:color w:val="auto"/>
          <w:sz w:val="21"/>
          <w:szCs w:val="21"/>
          <w:highlight w:val="none"/>
        </w:rPr>
        <w:tab/>
      </w:r>
      <w:r>
        <w:rPr>
          <w:rFonts w:ascii="Times New Roman" w:hAnsi="Times New Roman" w:eastAsia="宋体" w:cs="Times New Roman"/>
          <w:color w:val="auto"/>
          <w:sz w:val="21"/>
          <w:szCs w:val="21"/>
          <w:highlight w:val="none"/>
        </w:rPr>
        <w:t>电话：</w:t>
      </w:r>
    </w:p>
    <w:p w14:paraId="42E0737B">
      <w:pPr>
        <w:spacing w:line="219" w:lineRule="exact"/>
        <w:ind w:firstLine="210" w:firstLineChars="100"/>
        <w:rPr>
          <w:rFonts w:hint="eastAsia"/>
          <w:color w:val="auto"/>
          <w:szCs w:val="21"/>
          <w:highlight w:val="none"/>
        </w:rPr>
      </w:pPr>
    </w:p>
    <w:p w14:paraId="5215BFF9">
      <w:pPr>
        <w:pStyle w:val="2"/>
        <w:rPr>
          <w:color w:val="auto"/>
          <w:spacing w:val="-17"/>
          <w:sz w:val="21"/>
          <w:szCs w:val="21"/>
          <w:highlight w:val="none"/>
        </w:rPr>
      </w:pPr>
      <w:r>
        <w:rPr>
          <w:color w:val="auto"/>
          <w:sz w:val="21"/>
          <w:szCs w:val="21"/>
          <w:highlight w:val="none"/>
        </w:rPr>
        <w:t>签订日期：</w:t>
      </w:r>
      <w:r>
        <w:rPr>
          <w:rFonts w:hint="eastAsia"/>
          <w:color w:val="auto"/>
          <w:sz w:val="21"/>
          <w:szCs w:val="21"/>
          <w:highlight w:val="none"/>
          <w:lang w:val="en-US" w:eastAsia="zh-CN"/>
        </w:rPr>
        <w:t xml:space="preserve">  </w:t>
      </w:r>
      <w:r>
        <w:rPr>
          <w:color w:val="auto"/>
          <w:sz w:val="21"/>
          <w:szCs w:val="21"/>
          <w:highlight w:val="none"/>
        </w:rPr>
        <w:t>年</w:t>
      </w:r>
      <w:r>
        <w:rPr>
          <w:color w:val="auto"/>
          <w:sz w:val="21"/>
          <w:szCs w:val="21"/>
          <w:highlight w:val="none"/>
        </w:rPr>
        <w:tab/>
      </w:r>
      <w:r>
        <w:rPr>
          <w:color w:val="auto"/>
          <w:sz w:val="21"/>
          <w:szCs w:val="21"/>
          <w:highlight w:val="none"/>
        </w:rPr>
        <w:t>月</w:t>
      </w:r>
      <w:r>
        <w:rPr>
          <w:rFonts w:hint="eastAsia"/>
          <w:color w:val="auto"/>
          <w:sz w:val="21"/>
          <w:szCs w:val="21"/>
          <w:highlight w:val="none"/>
        </w:rPr>
        <w:t xml:space="preserve">   </w:t>
      </w:r>
      <w:r>
        <w:rPr>
          <w:color w:val="auto"/>
          <w:sz w:val="21"/>
          <w:szCs w:val="21"/>
          <w:highlight w:val="none"/>
        </w:rPr>
        <w:t>日</w:t>
      </w:r>
      <w:r>
        <w:rPr>
          <w:rFonts w:hint="eastAsia"/>
          <w:color w:val="auto"/>
          <w:sz w:val="21"/>
          <w:szCs w:val="21"/>
          <w:highlight w:val="none"/>
        </w:rPr>
        <w:t xml:space="preserve">                          </w:t>
      </w:r>
      <w:r>
        <w:rPr>
          <w:rFonts w:hint="eastAsia"/>
          <w:color w:val="auto"/>
          <w:sz w:val="21"/>
          <w:szCs w:val="21"/>
          <w:highlight w:val="none"/>
          <w:lang w:val="en-US" w:eastAsia="zh-CN"/>
        </w:rPr>
        <w:t xml:space="preserve">   </w:t>
      </w:r>
      <w:r>
        <w:rPr>
          <w:color w:val="auto"/>
          <w:sz w:val="21"/>
          <w:szCs w:val="21"/>
          <w:highlight w:val="none"/>
        </w:rPr>
        <w:t>签订日期：</w:t>
      </w:r>
      <w:r>
        <w:rPr>
          <w:rFonts w:hint="eastAsia"/>
          <w:color w:val="auto"/>
          <w:sz w:val="21"/>
          <w:szCs w:val="21"/>
          <w:highlight w:val="none"/>
          <w:lang w:val="en-US" w:eastAsia="zh-CN"/>
        </w:rPr>
        <w:t xml:space="preserve">  </w:t>
      </w:r>
      <w:r>
        <w:rPr>
          <w:color w:val="auto"/>
          <w:sz w:val="21"/>
          <w:szCs w:val="21"/>
          <w:highlight w:val="none"/>
        </w:rPr>
        <w:t>年</w:t>
      </w:r>
      <w:r>
        <w:rPr>
          <w:rFonts w:hint="eastAsia"/>
          <w:color w:val="auto"/>
          <w:sz w:val="21"/>
          <w:szCs w:val="21"/>
          <w:highlight w:val="none"/>
        </w:rPr>
        <w:t xml:space="preserve"> </w:t>
      </w:r>
      <w:r>
        <w:rPr>
          <w:color w:val="auto"/>
          <w:sz w:val="21"/>
          <w:szCs w:val="21"/>
          <w:highlight w:val="none"/>
        </w:rPr>
        <w:t>月</w:t>
      </w:r>
      <w:r>
        <w:rPr>
          <w:rFonts w:hint="eastAsia"/>
          <w:color w:val="auto"/>
          <w:sz w:val="21"/>
          <w:szCs w:val="21"/>
          <w:highlight w:val="none"/>
        </w:rPr>
        <w:t xml:space="preserve">  </w:t>
      </w:r>
      <w:r>
        <w:rPr>
          <w:color w:val="auto"/>
          <w:spacing w:val="-17"/>
          <w:sz w:val="21"/>
          <w:szCs w:val="21"/>
          <w:highlight w:val="none"/>
        </w:rPr>
        <w:t>日</w:t>
      </w:r>
    </w:p>
    <w:p w14:paraId="4ACB5D07">
      <w:pPr>
        <w:pStyle w:val="2"/>
        <w:rPr>
          <w:rFonts w:ascii="Times New Roman" w:hAnsi="Times New Roman" w:eastAsia="宋体" w:cs="Times New Roman"/>
          <w:color w:val="auto"/>
          <w:sz w:val="21"/>
          <w:szCs w:val="21"/>
          <w:highlight w:val="none"/>
        </w:rPr>
      </w:pPr>
    </w:p>
    <w:p w14:paraId="2ADACE97">
      <w:pPr>
        <w:pStyle w:val="19"/>
        <w:rPr>
          <w:rFonts w:ascii="Times New Roman" w:hAnsi="Times New Roman" w:eastAsia="宋体" w:cs="Times New Roman"/>
          <w:color w:val="auto"/>
          <w:sz w:val="21"/>
          <w:szCs w:val="21"/>
          <w:highlight w:val="none"/>
        </w:rPr>
      </w:pPr>
    </w:p>
    <w:p w14:paraId="0E99D30D">
      <w:pPr>
        <w:rPr>
          <w:rFonts w:ascii="Times New Roman" w:hAnsi="Times New Roman" w:eastAsia="宋体" w:cs="Times New Roman"/>
          <w:color w:val="auto"/>
          <w:sz w:val="21"/>
          <w:szCs w:val="21"/>
          <w:highlight w:val="none"/>
        </w:rPr>
      </w:pPr>
    </w:p>
    <w:p w14:paraId="606A1CC1">
      <w:pPr>
        <w:pStyle w:val="2"/>
        <w:rPr>
          <w:rFonts w:ascii="Times New Roman" w:hAnsi="Times New Roman" w:eastAsia="宋体" w:cs="Times New Roman"/>
          <w:color w:val="auto"/>
          <w:sz w:val="21"/>
          <w:szCs w:val="21"/>
          <w:highlight w:val="none"/>
        </w:rPr>
      </w:pPr>
    </w:p>
    <w:p w14:paraId="289777B2">
      <w:pPr>
        <w:rPr>
          <w:color w:val="auto"/>
          <w:highlight w:val="none"/>
        </w:rPr>
      </w:pPr>
      <w:r>
        <w:rPr>
          <w:color w:val="auto"/>
          <w:highlight w:val="none"/>
        </w:rPr>
        <w:br w:type="page"/>
      </w:r>
    </w:p>
    <w:p w14:paraId="418CF791">
      <w:pPr>
        <w:rPr>
          <w:color w:val="auto"/>
          <w:highlight w:val="none"/>
        </w:rPr>
      </w:pPr>
    </w:p>
    <w:p w14:paraId="0FBBF5E9">
      <w:pPr>
        <w:pStyle w:val="7"/>
        <w:spacing w:before="149"/>
        <w:ind w:right="30"/>
        <w:jc w:val="center"/>
        <w:rPr>
          <w:color w:val="auto"/>
          <w:sz w:val="21"/>
          <w:szCs w:val="21"/>
          <w:highlight w:val="none"/>
        </w:rPr>
      </w:pPr>
      <w:r>
        <w:rPr>
          <w:rFonts w:hint="eastAsia" w:ascii="宋体" w:hAnsi="宋体" w:eastAsia="宋体" w:cs="宋体"/>
          <w:color w:val="auto"/>
          <w:sz w:val="32"/>
          <w:szCs w:val="32"/>
          <w:highlight w:val="none"/>
        </w:rPr>
        <w:t>安全管理协议</w:t>
      </w:r>
    </w:p>
    <w:p w14:paraId="13BBE4D6">
      <w:pPr>
        <w:pStyle w:val="9"/>
        <w:tabs>
          <w:tab w:val="left" w:pos="6244"/>
        </w:tabs>
        <w:spacing w:before="264" w:line="364" w:lineRule="auto"/>
        <w:ind w:left="0" w:right="3746"/>
        <w:rPr>
          <w:rFonts w:hint="default" w:eastAsia="宋体"/>
          <w:color w:val="auto"/>
          <w:highlight w:val="none"/>
          <w:lang w:val="en-US" w:eastAsia="zh-CN"/>
        </w:rPr>
      </w:pPr>
      <w:r>
        <w:rPr>
          <w:color w:val="auto"/>
          <w:highlight w:val="none"/>
        </w:rPr>
        <w:t>发包人（全称）：</w:t>
      </w:r>
      <w:r>
        <w:rPr>
          <w:rFonts w:hint="eastAsia"/>
          <w:color w:val="auto"/>
          <w:highlight w:val="none"/>
          <w:u w:val="single"/>
        </w:rPr>
        <w:t xml:space="preserve"> </w:t>
      </w:r>
      <w:r>
        <w:rPr>
          <w:rFonts w:hint="eastAsia"/>
          <w:color w:val="auto"/>
          <w:highlight w:val="none"/>
          <w:u w:val="single"/>
          <w:lang w:val="en-US" w:eastAsia="zh-CN"/>
        </w:rPr>
        <w:t xml:space="preserve">                                          </w:t>
      </w:r>
    </w:p>
    <w:p w14:paraId="7219BFE4">
      <w:pPr>
        <w:pStyle w:val="9"/>
        <w:tabs>
          <w:tab w:val="left" w:pos="6244"/>
        </w:tabs>
        <w:spacing w:before="264" w:line="364" w:lineRule="auto"/>
        <w:ind w:left="0" w:leftChars="0" w:right="3746" w:firstLine="0" w:firstLineChars="0"/>
        <w:rPr>
          <w:rFonts w:ascii="Times New Roman" w:eastAsia="Times New Roman"/>
          <w:color w:val="auto"/>
          <w:highlight w:val="none"/>
        </w:rPr>
      </w:pPr>
      <w:r>
        <w:rPr>
          <w:color w:val="auto"/>
          <w:highlight w:val="none"/>
        </w:rPr>
        <w:t>承包人（全称）：</w:t>
      </w:r>
      <w:r>
        <w:rPr>
          <w:rFonts w:ascii="Times New Roman" w:eastAsia="Times New Roman"/>
          <w:color w:val="auto"/>
          <w:w w:val="99"/>
          <w:highlight w:val="none"/>
          <w:u w:val="single"/>
        </w:rPr>
        <w:t xml:space="preserve">  </w:t>
      </w:r>
      <w:r>
        <w:rPr>
          <w:rFonts w:hint="eastAsia" w:ascii="Times New Roman"/>
          <w:color w:val="auto"/>
          <w:w w:val="99"/>
          <w:highlight w:val="none"/>
          <w:u w:val="single"/>
          <w:lang w:val="en-US"/>
        </w:rPr>
        <w:t xml:space="preserve">   </w:t>
      </w:r>
      <w:r>
        <w:rPr>
          <w:rFonts w:hint="eastAsia"/>
          <w:color w:val="auto"/>
          <w:highlight w:val="none"/>
          <w:u w:val="single"/>
          <w:lang w:val="en-US"/>
        </w:rPr>
        <w:t xml:space="preserve">                            </w:t>
      </w:r>
      <w:r>
        <w:rPr>
          <w:rFonts w:hint="eastAsia"/>
          <w:b w:val="0"/>
          <w:bCs w:val="0"/>
          <w:color w:val="auto"/>
          <w:highlight w:val="none"/>
          <w:u w:val="single"/>
          <w:lang w:val="en-US"/>
        </w:rPr>
        <w:t xml:space="preserve">            </w:t>
      </w:r>
      <w:r>
        <w:rPr>
          <w:rFonts w:ascii="Times New Roman" w:eastAsia="Times New Roman"/>
          <w:color w:val="auto"/>
          <w:w w:val="32"/>
          <w:highlight w:val="none"/>
          <w:u w:val="single"/>
        </w:rPr>
        <w:t xml:space="preserve"> </w:t>
      </w:r>
    </w:p>
    <w:p w14:paraId="0DB0202A">
      <w:pPr>
        <w:pStyle w:val="2"/>
        <w:tabs>
          <w:tab w:val="left" w:pos="2443"/>
        </w:tabs>
        <w:spacing w:before="97" w:line="417" w:lineRule="auto"/>
        <w:ind w:left="132" w:right="424" w:firstLine="420"/>
        <w:rPr>
          <w:color w:val="auto"/>
          <w:sz w:val="21"/>
          <w:szCs w:val="21"/>
          <w:highlight w:val="none"/>
        </w:rPr>
      </w:pPr>
      <w:r>
        <w:rPr>
          <w:color w:val="auto"/>
          <w:sz w:val="21"/>
          <w:szCs w:val="21"/>
          <w:highlight w:val="none"/>
        </w:rPr>
        <w:t>为了确保实现</w:t>
      </w:r>
      <w:r>
        <w:rPr>
          <w:rFonts w:hint="eastAsia"/>
          <w:color w:val="auto"/>
          <w:sz w:val="21"/>
          <w:szCs w:val="21"/>
          <w:highlight w:val="none"/>
          <w:u w:val="single"/>
        </w:rPr>
        <w:t xml:space="preserve"> </w:t>
      </w:r>
      <w:r>
        <w:rPr>
          <w:rFonts w:hint="eastAsia"/>
          <w:color w:val="auto"/>
          <w:sz w:val="21"/>
          <w:szCs w:val="21"/>
          <w:highlight w:val="none"/>
          <w:u w:val="single" w:color="000000"/>
          <w:lang w:val="en-US" w:eastAsia="zh-CN"/>
        </w:rPr>
        <w:t xml:space="preserve">              </w:t>
      </w:r>
      <w:r>
        <w:rPr>
          <w:color w:val="auto"/>
          <w:sz w:val="21"/>
          <w:szCs w:val="21"/>
          <w:highlight w:val="none"/>
        </w:rPr>
        <w:t>安全生产目标</w:t>
      </w:r>
      <w:r>
        <w:rPr>
          <w:color w:val="auto"/>
          <w:spacing w:val="-87"/>
          <w:sz w:val="21"/>
          <w:szCs w:val="21"/>
          <w:highlight w:val="none"/>
        </w:rPr>
        <w:t>，</w:t>
      </w:r>
      <w:r>
        <w:rPr>
          <w:color w:val="auto"/>
          <w:sz w:val="21"/>
          <w:szCs w:val="21"/>
          <w:highlight w:val="none"/>
        </w:rPr>
        <w:t>进一步明确双方的安全管理责任</w:t>
      </w:r>
      <w:r>
        <w:rPr>
          <w:color w:val="auto"/>
          <w:spacing w:val="-22"/>
          <w:sz w:val="21"/>
          <w:szCs w:val="21"/>
          <w:highlight w:val="none"/>
        </w:rPr>
        <w:t>，</w:t>
      </w:r>
      <w:r>
        <w:rPr>
          <w:color w:val="auto"/>
          <w:sz w:val="21"/>
          <w:szCs w:val="21"/>
          <w:highlight w:val="none"/>
        </w:rPr>
        <w:t>加强安全生产管理工作的协调</w:t>
      </w:r>
      <w:r>
        <w:rPr>
          <w:color w:val="auto"/>
          <w:spacing w:val="-22"/>
          <w:sz w:val="21"/>
          <w:szCs w:val="21"/>
          <w:highlight w:val="none"/>
        </w:rPr>
        <w:t>、</w:t>
      </w:r>
      <w:r>
        <w:rPr>
          <w:color w:val="auto"/>
          <w:sz w:val="21"/>
          <w:szCs w:val="21"/>
          <w:highlight w:val="none"/>
        </w:rPr>
        <w:t>管理力度</w:t>
      </w:r>
      <w:r>
        <w:rPr>
          <w:color w:val="auto"/>
          <w:spacing w:val="-23"/>
          <w:sz w:val="21"/>
          <w:szCs w:val="21"/>
          <w:highlight w:val="none"/>
        </w:rPr>
        <w:t>，</w:t>
      </w:r>
      <w:r>
        <w:rPr>
          <w:rFonts w:hint="eastAsia"/>
          <w:color w:val="auto"/>
          <w:spacing w:val="15"/>
          <w:sz w:val="21"/>
          <w:szCs w:val="21"/>
          <w:highlight w:val="none"/>
          <w:u w:val="single"/>
          <w:lang w:val="en-US" w:eastAsia="zh-CN"/>
        </w:rPr>
        <w:t xml:space="preserve">    </w:t>
      </w:r>
      <w:r>
        <w:rPr>
          <w:color w:val="auto"/>
          <w:sz w:val="21"/>
          <w:szCs w:val="21"/>
          <w:highlight w:val="none"/>
          <w:u w:val="single"/>
        </w:rPr>
        <w:t xml:space="preserve"> </w:t>
      </w:r>
      <w:r>
        <w:rPr>
          <w:color w:val="auto"/>
          <w:spacing w:val="72"/>
          <w:sz w:val="21"/>
          <w:szCs w:val="21"/>
          <w:highlight w:val="none"/>
          <w:u w:val="single"/>
        </w:rPr>
        <w:t xml:space="preserve"> </w:t>
      </w:r>
      <w:r>
        <w:rPr>
          <w:color w:val="auto"/>
          <w:sz w:val="21"/>
          <w:szCs w:val="21"/>
          <w:highlight w:val="none"/>
        </w:rPr>
        <w:t>（以下简称“发包人”）与</w:t>
      </w:r>
      <w:r>
        <w:rPr>
          <w:color w:val="auto"/>
          <w:sz w:val="21"/>
          <w:szCs w:val="21"/>
          <w:highlight w:val="none"/>
          <w:u w:val="single"/>
        </w:rPr>
        <w:t xml:space="preserve"> </w:t>
      </w:r>
      <w:r>
        <w:rPr>
          <w:rFonts w:hint="eastAsia"/>
          <w:color w:val="auto"/>
          <w:w w:val="99"/>
          <w:sz w:val="21"/>
          <w:szCs w:val="21"/>
          <w:highlight w:val="none"/>
          <w:u w:val="single"/>
        </w:rPr>
        <w:t xml:space="preserve">           </w:t>
      </w:r>
      <w:r>
        <w:rPr>
          <w:rFonts w:hint="eastAsia" w:ascii="宋体" w:hAnsi="宋体" w:cs="宋体"/>
          <w:color w:val="auto"/>
          <w:sz w:val="21"/>
          <w:szCs w:val="21"/>
          <w:highlight w:val="none"/>
          <w:u w:val="single"/>
          <w:lang w:bidi="zh-CN"/>
        </w:rPr>
        <w:t xml:space="preserve"> </w:t>
      </w:r>
      <w:r>
        <w:rPr>
          <w:color w:val="auto"/>
          <w:sz w:val="21"/>
          <w:szCs w:val="21"/>
          <w:highlight w:val="none"/>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219E8135">
      <w:pPr>
        <w:pStyle w:val="2"/>
        <w:spacing w:line="268" w:lineRule="exact"/>
        <w:ind w:left="552"/>
        <w:rPr>
          <w:color w:val="auto"/>
          <w:sz w:val="21"/>
          <w:szCs w:val="21"/>
          <w:highlight w:val="none"/>
        </w:rPr>
      </w:pPr>
      <w:r>
        <w:rPr>
          <w:color w:val="auto"/>
          <w:sz w:val="21"/>
          <w:szCs w:val="21"/>
          <w:highlight w:val="none"/>
        </w:rPr>
        <w:t>一、协议有效期限</w:t>
      </w:r>
    </w:p>
    <w:p w14:paraId="3CCBC4D5">
      <w:pPr>
        <w:pStyle w:val="2"/>
        <w:spacing w:before="1" w:line="417" w:lineRule="auto"/>
        <w:ind w:left="132" w:right="443" w:firstLine="420"/>
        <w:rPr>
          <w:color w:val="auto"/>
          <w:sz w:val="21"/>
          <w:szCs w:val="21"/>
          <w:highlight w:val="none"/>
        </w:rPr>
      </w:pPr>
      <w:r>
        <w:rPr>
          <w:color w:val="auto"/>
          <w:sz w:val="21"/>
          <w:szCs w:val="21"/>
          <w:highlight w:val="none"/>
        </w:rPr>
        <w:t>本协议中所涉及的安全管理责任自合同签订之日起开始生效，至合同工程全部完工验收且经发包人与承包人签订移交协议生效后之日终止。</w:t>
      </w:r>
    </w:p>
    <w:p w14:paraId="1E2C7048">
      <w:pPr>
        <w:pStyle w:val="2"/>
        <w:spacing w:line="269" w:lineRule="exact"/>
        <w:ind w:left="552"/>
        <w:rPr>
          <w:color w:val="auto"/>
          <w:sz w:val="21"/>
          <w:szCs w:val="21"/>
          <w:highlight w:val="none"/>
        </w:rPr>
      </w:pPr>
      <w:r>
        <w:rPr>
          <w:color w:val="auto"/>
          <w:sz w:val="21"/>
          <w:szCs w:val="21"/>
          <w:highlight w:val="none"/>
        </w:rPr>
        <w:t>二、责任目标</w:t>
      </w:r>
    </w:p>
    <w:p w14:paraId="0910BB17">
      <w:pPr>
        <w:pStyle w:val="2"/>
        <w:spacing w:line="360" w:lineRule="auto"/>
        <w:ind w:left="552"/>
        <w:rPr>
          <w:color w:val="auto"/>
          <w:sz w:val="21"/>
          <w:szCs w:val="21"/>
          <w:highlight w:val="none"/>
        </w:rPr>
      </w:pPr>
      <w:r>
        <w:rPr>
          <w:color w:val="auto"/>
          <w:sz w:val="21"/>
          <w:szCs w:val="21"/>
          <w:highlight w:val="none"/>
        </w:rPr>
        <w:t>（一）承包人承诺承担和履行合同和发包人所规定的安全责任，且满足要求。</w:t>
      </w:r>
    </w:p>
    <w:p w14:paraId="23004CBF">
      <w:pPr>
        <w:widowControl/>
        <w:spacing w:line="360" w:lineRule="auto"/>
        <w:ind w:firstLine="630" w:firstLineChars="300"/>
        <w:jc w:val="left"/>
        <w:rPr>
          <w:rFonts w:hint="eastAsia" w:ascii="宋体" w:hAnsi="宋体" w:cs="宋体"/>
          <w:color w:val="auto"/>
          <w:szCs w:val="21"/>
          <w:highlight w:val="none"/>
          <w:lang w:bidi="zh-CN"/>
        </w:rPr>
      </w:pPr>
      <w:r>
        <w:rPr>
          <w:rFonts w:hint="eastAsia" w:ascii="宋体" w:hAnsi="宋体" w:cs="宋体"/>
          <w:color w:val="auto"/>
          <w:szCs w:val="21"/>
          <w:highlight w:val="none"/>
          <w:lang w:bidi="zh-CN"/>
        </w:rPr>
        <w:t>（二）承包人的安全控制目标是确保本工程在实施过程中：</w:t>
      </w:r>
    </w:p>
    <w:p w14:paraId="027764E8">
      <w:pPr>
        <w:widowControl/>
        <w:spacing w:line="360" w:lineRule="auto"/>
        <w:ind w:firstLine="398" w:firstLineChars="200"/>
        <w:jc w:val="left"/>
        <w:rPr>
          <w:color w:val="auto"/>
          <w:szCs w:val="21"/>
          <w:highlight w:val="none"/>
        </w:rPr>
      </w:pPr>
      <w:r>
        <w:rPr>
          <w:color w:val="auto"/>
          <w:w w:val="95"/>
          <w:szCs w:val="21"/>
          <w:highlight w:val="none"/>
        </w:rPr>
        <w:t xml:space="preserve"> </w:t>
      </w:r>
      <w:r>
        <w:rPr>
          <w:color w:val="auto"/>
          <w:szCs w:val="21"/>
          <w:highlight w:val="none"/>
        </w:rPr>
        <w:t>1．不发生人</w:t>
      </w:r>
      <w:r>
        <w:rPr>
          <w:rFonts w:hint="eastAsia" w:ascii="宋体" w:hAnsi="宋体" w:cs="宋体"/>
          <w:color w:val="auto"/>
          <w:szCs w:val="21"/>
          <w:highlight w:val="none"/>
          <w:lang w:bidi="zh-CN"/>
        </w:rPr>
        <w:t>身重大伤亡事故</w:t>
      </w:r>
      <w:r>
        <w:rPr>
          <w:color w:val="auto"/>
          <w:szCs w:val="21"/>
          <w:highlight w:val="none"/>
        </w:rPr>
        <w:t>；</w:t>
      </w:r>
    </w:p>
    <w:p w14:paraId="574E30DA">
      <w:pPr>
        <w:pStyle w:val="18"/>
        <w:numPr>
          <w:ilvl w:val="0"/>
          <w:numId w:val="10"/>
        </w:numPr>
        <w:tabs>
          <w:tab w:val="left" w:pos="869"/>
        </w:tabs>
        <w:spacing w:line="269" w:lineRule="exact"/>
        <w:ind w:hanging="317"/>
        <w:jc w:val="left"/>
        <w:rPr>
          <w:color w:val="auto"/>
          <w:szCs w:val="21"/>
          <w:highlight w:val="none"/>
        </w:rPr>
      </w:pPr>
      <w:r>
        <w:rPr>
          <w:color w:val="auto"/>
          <w:szCs w:val="21"/>
          <w:highlight w:val="none"/>
        </w:rPr>
        <w:t>不发生火灾事故；</w:t>
      </w:r>
    </w:p>
    <w:p w14:paraId="7C804AA7">
      <w:pPr>
        <w:pStyle w:val="2"/>
        <w:spacing w:before="7"/>
        <w:rPr>
          <w:color w:val="auto"/>
          <w:sz w:val="21"/>
          <w:szCs w:val="21"/>
          <w:highlight w:val="none"/>
        </w:rPr>
      </w:pPr>
    </w:p>
    <w:p w14:paraId="00251132">
      <w:pPr>
        <w:pStyle w:val="18"/>
        <w:numPr>
          <w:ilvl w:val="0"/>
          <w:numId w:val="10"/>
        </w:numPr>
        <w:tabs>
          <w:tab w:val="left" w:pos="869"/>
        </w:tabs>
        <w:ind w:hanging="317"/>
        <w:jc w:val="left"/>
        <w:rPr>
          <w:color w:val="auto"/>
          <w:szCs w:val="21"/>
          <w:highlight w:val="none"/>
        </w:rPr>
      </w:pPr>
      <w:r>
        <w:rPr>
          <w:color w:val="auto"/>
          <w:szCs w:val="21"/>
          <w:highlight w:val="none"/>
        </w:rPr>
        <w:t>不发生负有同等及以上事故责任的造成人身重伤的一般交通事故；</w:t>
      </w:r>
    </w:p>
    <w:p w14:paraId="62310054">
      <w:pPr>
        <w:pStyle w:val="2"/>
        <w:spacing w:before="6"/>
        <w:rPr>
          <w:color w:val="auto"/>
          <w:sz w:val="21"/>
          <w:szCs w:val="21"/>
          <w:highlight w:val="none"/>
        </w:rPr>
      </w:pPr>
    </w:p>
    <w:p w14:paraId="1E21B818">
      <w:pPr>
        <w:pStyle w:val="18"/>
        <w:numPr>
          <w:ilvl w:val="0"/>
          <w:numId w:val="10"/>
        </w:numPr>
        <w:tabs>
          <w:tab w:val="left" w:pos="869"/>
        </w:tabs>
        <w:spacing w:before="1"/>
        <w:ind w:hanging="317"/>
        <w:jc w:val="left"/>
        <w:rPr>
          <w:color w:val="auto"/>
          <w:szCs w:val="21"/>
          <w:highlight w:val="none"/>
        </w:rPr>
      </w:pPr>
      <w:r>
        <w:rPr>
          <w:color w:val="auto"/>
          <w:szCs w:val="21"/>
          <w:highlight w:val="none"/>
        </w:rPr>
        <w:t>不发生集体食物中毒事件（</w:t>
      </w:r>
      <w:r>
        <w:rPr>
          <w:color w:val="auto"/>
          <w:spacing w:val="-18"/>
          <w:szCs w:val="21"/>
          <w:highlight w:val="none"/>
        </w:rPr>
        <w:t xml:space="preserve">同时 </w:t>
      </w:r>
      <w:r>
        <w:rPr>
          <w:color w:val="auto"/>
          <w:szCs w:val="21"/>
          <w:highlight w:val="none"/>
        </w:rPr>
        <w:t>5</w:t>
      </w:r>
      <w:r>
        <w:rPr>
          <w:color w:val="auto"/>
          <w:spacing w:val="-8"/>
          <w:szCs w:val="21"/>
          <w:highlight w:val="none"/>
        </w:rPr>
        <w:t xml:space="preserve"> 人及以上的食物中毒</w:t>
      </w:r>
      <w:r>
        <w:rPr>
          <w:color w:val="auto"/>
          <w:szCs w:val="21"/>
          <w:highlight w:val="none"/>
        </w:rPr>
        <w:t>）；</w:t>
      </w:r>
    </w:p>
    <w:p w14:paraId="2F941F4B">
      <w:pPr>
        <w:pStyle w:val="2"/>
        <w:spacing w:before="6"/>
        <w:rPr>
          <w:color w:val="auto"/>
          <w:sz w:val="21"/>
          <w:szCs w:val="21"/>
          <w:highlight w:val="none"/>
        </w:rPr>
      </w:pPr>
    </w:p>
    <w:p w14:paraId="6D083D08">
      <w:pPr>
        <w:pStyle w:val="18"/>
        <w:numPr>
          <w:ilvl w:val="0"/>
          <w:numId w:val="10"/>
        </w:numPr>
        <w:tabs>
          <w:tab w:val="left" w:pos="869"/>
        </w:tabs>
        <w:ind w:hanging="317"/>
        <w:jc w:val="left"/>
        <w:rPr>
          <w:color w:val="auto"/>
          <w:szCs w:val="21"/>
          <w:highlight w:val="none"/>
        </w:rPr>
      </w:pPr>
      <w:r>
        <w:rPr>
          <w:color w:val="auto"/>
          <w:szCs w:val="21"/>
          <w:highlight w:val="none"/>
        </w:rPr>
        <w:t>不发生流行性传染病 （无甲型传染病、其他常见传染病未形成多人同时患病）；</w:t>
      </w:r>
    </w:p>
    <w:p w14:paraId="54BDC6F0">
      <w:pPr>
        <w:pStyle w:val="2"/>
        <w:spacing w:before="7"/>
        <w:rPr>
          <w:color w:val="auto"/>
          <w:sz w:val="21"/>
          <w:szCs w:val="21"/>
          <w:highlight w:val="none"/>
        </w:rPr>
      </w:pPr>
    </w:p>
    <w:p w14:paraId="0124978A">
      <w:pPr>
        <w:pStyle w:val="18"/>
        <w:numPr>
          <w:ilvl w:val="0"/>
          <w:numId w:val="10"/>
        </w:numPr>
        <w:tabs>
          <w:tab w:val="left" w:pos="869"/>
        </w:tabs>
        <w:ind w:hanging="317"/>
        <w:jc w:val="left"/>
        <w:rPr>
          <w:color w:val="auto"/>
          <w:szCs w:val="21"/>
          <w:highlight w:val="none"/>
        </w:rPr>
      </w:pPr>
      <w:r>
        <w:rPr>
          <w:color w:val="auto"/>
          <w:szCs w:val="21"/>
          <w:highlight w:val="none"/>
        </w:rPr>
        <w:t>不发生重大环境污染事件（生活、工业垃圾及其他污染物造成环境污染和大面积水土流失）；</w:t>
      </w:r>
    </w:p>
    <w:p w14:paraId="4915893A">
      <w:pPr>
        <w:pStyle w:val="2"/>
        <w:spacing w:before="7"/>
        <w:rPr>
          <w:color w:val="auto"/>
          <w:sz w:val="21"/>
          <w:szCs w:val="21"/>
          <w:highlight w:val="none"/>
        </w:rPr>
      </w:pPr>
    </w:p>
    <w:p w14:paraId="6D68BA07">
      <w:pPr>
        <w:pStyle w:val="18"/>
        <w:numPr>
          <w:ilvl w:val="0"/>
          <w:numId w:val="10"/>
        </w:numPr>
        <w:tabs>
          <w:tab w:val="left" w:pos="869"/>
        </w:tabs>
        <w:spacing w:line="417" w:lineRule="auto"/>
        <w:ind w:left="132" w:right="425" w:firstLine="420"/>
        <w:jc w:val="left"/>
        <w:rPr>
          <w:color w:val="auto"/>
          <w:szCs w:val="21"/>
          <w:highlight w:val="none"/>
        </w:rPr>
      </w:pPr>
      <w:r>
        <w:rPr>
          <w:color w:val="auto"/>
          <w:szCs w:val="21"/>
          <w:highlight w:val="none"/>
        </w:rPr>
        <w:t>不发生对施工区附近生产、生活造成重大影响的事件（如造成重大设备损坏、重大财产损失、人</w:t>
      </w:r>
      <w:r>
        <w:rPr>
          <w:color w:val="auto"/>
          <w:spacing w:val="-3"/>
          <w:szCs w:val="21"/>
          <w:highlight w:val="none"/>
        </w:rPr>
        <w:t>员伤害等）；</w:t>
      </w:r>
    </w:p>
    <w:p w14:paraId="7A1A34B7">
      <w:pPr>
        <w:pStyle w:val="18"/>
        <w:numPr>
          <w:ilvl w:val="0"/>
          <w:numId w:val="10"/>
        </w:numPr>
        <w:tabs>
          <w:tab w:val="left" w:pos="869"/>
        </w:tabs>
        <w:spacing w:line="269" w:lineRule="exact"/>
        <w:ind w:hanging="317"/>
        <w:jc w:val="left"/>
        <w:rPr>
          <w:color w:val="auto"/>
          <w:szCs w:val="21"/>
          <w:highlight w:val="none"/>
        </w:rPr>
      </w:pPr>
      <w:r>
        <w:rPr>
          <w:color w:val="auto"/>
          <w:szCs w:val="21"/>
          <w:highlight w:val="none"/>
        </w:rPr>
        <w:t>不发生治安保卫事件（</w:t>
      </w:r>
      <w:r>
        <w:rPr>
          <w:color w:val="auto"/>
          <w:spacing w:val="-3"/>
          <w:szCs w:val="21"/>
          <w:highlight w:val="none"/>
        </w:rPr>
        <w:t xml:space="preserve">构成刑事拘留及以上的事件、盗窃直接损失超过 </w:t>
      </w:r>
      <w:r>
        <w:rPr>
          <w:color w:val="auto"/>
          <w:szCs w:val="21"/>
          <w:highlight w:val="none"/>
        </w:rPr>
        <w:t>1</w:t>
      </w:r>
      <w:r>
        <w:rPr>
          <w:color w:val="auto"/>
          <w:spacing w:val="-8"/>
          <w:szCs w:val="21"/>
          <w:highlight w:val="none"/>
        </w:rPr>
        <w:t xml:space="preserve"> 万元人民币的事件</w:t>
      </w:r>
      <w:r>
        <w:rPr>
          <w:color w:val="auto"/>
          <w:szCs w:val="21"/>
          <w:highlight w:val="none"/>
        </w:rPr>
        <w:t>）。</w:t>
      </w:r>
    </w:p>
    <w:p w14:paraId="39EEF2A8">
      <w:pPr>
        <w:pStyle w:val="2"/>
        <w:spacing w:before="6"/>
        <w:rPr>
          <w:color w:val="auto"/>
          <w:sz w:val="21"/>
          <w:szCs w:val="21"/>
          <w:highlight w:val="none"/>
        </w:rPr>
      </w:pPr>
    </w:p>
    <w:p w14:paraId="4FE95B49">
      <w:pPr>
        <w:pStyle w:val="2"/>
        <w:spacing w:before="1" w:line="417" w:lineRule="auto"/>
        <w:ind w:left="552" w:right="4434"/>
        <w:rPr>
          <w:color w:val="auto"/>
          <w:sz w:val="21"/>
          <w:szCs w:val="21"/>
          <w:highlight w:val="none"/>
        </w:rPr>
      </w:pPr>
      <w:r>
        <w:rPr>
          <w:color w:val="auto"/>
          <w:w w:val="95"/>
          <w:sz w:val="21"/>
          <w:szCs w:val="21"/>
          <w:highlight w:val="none"/>
        </w:rPr>
        <w:t>（三）</w:t>
      </w:r>
      <w:r>
        <w:rPr>
          <w:rFonts w:ascii="宋体" w:hAnsi="宋体" w:cs="宋体"/>
          <w:color w:val="auto"/>
          <w:sz w:val="21"/>
          <w:szCs w:val="21"/>
          <w:highlight w:val="none"/>
          <w:lang w:val="zh-CN" w:bidi="zh-CN"/>
        </w:rPr>
        <w:t xml:space="preserve">承包人承诺在施工中控制以下安全事故的发生： </w:t>
      </w:r>
      <w:r>
        <w:rPr>
          <w:color w:val="auto"/>
          <w:sz w:val="21"/>
          <w:szCs w:val="21"/>
          <w:highlight w:val="none"/>
        </w:rPr>
        <w:t>1．人员轻伤事故。</w:t>
      </w:r>
    </w:p>
    <w:p w14:paraId="45C36749">
      <w:pPr>
        <w:pStyle w:val="18"/>
        <w:numPr>
          <w:ilvl w:val="0"/>
          <w:numId w:val="11"/>
        </w:numPr>
        <w:tabs>
          <w:tab w:val="left" w:pos="869"/>
        </w:tabs>
        <w:spacing w:line="269" w:lineRule="exact"/>
        <w:ind w:hanging="317"/>
        <w:jc w:val="left"/>
        <w:rPr>
          <w:color w:val="auto"/>
          <w:szCs w:val="21"/>
          <w:highlight w:val="none"/>
        </w:rPr>
      </w:pPr>
      <w:r>
        <w:rPr>
          <w:color w:val="auto"/>
          <w:szCs w:val="21"/>
          <w:highlight w:val="none"/>
        </w:rPr>
        <w:t>负有同等及以上事故责任的人身轻伤交通事故。</w:t>
      </w:r>
    </w:p>
    <w:p w14:paraId="39FE1AD3">
      <w:pPr>
        <w:pStyle w:val="2"/>
        <w:spacing w:before="6"/>
        <w:rPr>
          <w:color w:val="auto"/>
          <w:sz w:val="21"/>
          <w:szCs w:val="21"/>
          <w:highlight w:val="none"/>
        </w:rPr>
      </w:pPr>
    </w:p>
    <w:p w14:paraId="1BEEC8A3">
      <w:pPr>
        <w:pStyle w:val="18"/>
        <w:numPr>
          <w:ilvl w:val="0"/>
          <w:numId w:val="11"/>
        </w:numPr>
        <w:tabs>
          <w:tab w:val="left" w:pos="869"/>
        </w:tabs>
        <w:spacing w:line="417" w:lineRule="auto"/>
        <w:ind w:left="552" w:right="6217" w:firstLine="0"/>
        <w:jc w:val="left"/>
        <w:rPr>
          <w:color w:val="auto"/>
          <w:szCs w:val="21"/>
          <w:highlight w:val="none"/>
        </w:rPr>
      </w:pPr>
      <w:r>
        <w:rPr>
          <w:color w:val="auto"/>
          <w:szCs w:val="21"/>
          <w:highlight w:val="none"/>
        </w:rPr>
        <w:t>其他安全未遂事故和异常事件。三、安全责任</w:t>
      </w:r>
    </w:p>
    <w:p w14:paraId="22A0CB7D">
      <w:pPr>
        <w:pStyle w:val="18"/>
        <w:numPr>
          <w:ilvl w:val="0"/>
          <w:numId w:val="12"/>
        </w:numPr>
        <w:tabs>
          <w:tab w:val="left" w:pos="869"/>
        </w:tabs>
        <w:spacing w:line="269" w:lineRule="exact"/>
        <w:ind w:hanging="317"/>
        <w:jc w:val="left"/>
        <w:rPr>
          <w:color w:val="auto"/>
          <w:szCs w:val="21"/>
          <w:highlight w:val="none"/>
        </w:rPr>
      </w:pPr>
      <w:r>
        <w:rPr>
          <w:color w:val="auto"/>
          <w:szCs w:val="21"/>
          <w:highlight w:val="none"/>
        </w:rPr>
        <w:t>承包人负有安全生产的管理责任和直接责任。</w:t>
      </w:r>
    </w:p>
    <w:p w14:paraId="63A19EB0">
      <w:pPr>
        <w:pStyle w:val="18"/>
        <w:numPr>
          <w:ilvl w:val="0"/>
          <w:numId w:val="12"/>
        </w:numPr>
        <w:tabs>
          <w:tab w:val="left" w:pos="869"/>
        </w:tabs>
        <w:ind w:hanging="317"/>
        <w:jc w:val="left"/>
        <w:rPr>
          <w:color w:val="auto"/>
          <w:szCs w:val="21"/>
          <w:highlight w:val="none"/>
        </w:rPr>
      </w:pPr>
      <w:r>
        <w:rPr>
          <w:color w:val="auto"/>
          <w:szCs w:val="21"/>
          <w:highlight w:val="none"/>
        </w:rPr>
        <w:t>承包人的法人或签署合同的公司总经理或受委托的代理人对合同安全负有全面的领导责任。</w:t>
      </w:r>
    </w:p>
    <w:p w14:paraId="06E1B609">
      <w:pPr>
        <w:pStyle w:val="18"/>
        <w:numPr>
          <w:ilvl w:val="0"/>
          <w:numId w:val="12"/>
        </w:numPr>
        <w:tabs>
          <w:tab w:val="left" w:pos="1039"/>
        </w:tabs>
        <w:spacing w:before="142"/>
        <w:ind w:left="1038"/>
        <w:jc w:val="left"/>
        <w:rPr>
          <w:color w:val="auto"/>
          <w:szCs w:val="21"/>
          <w:highlight w:val="none"/>
        </w:rPr>
      </w:pPr>
      <w:r>
        <w:rPr>
          <w:color w:val="auto"/>
          <w:szCs w:val="21"/>
          <w:highlight w:val="none"/>
        </w:rPr>
        <w:t>承包人项目经理对施工现场的安全工作负有全面的直接领导责任。</w:t>
      </w:r>
    </w:p>
    <w:p w14:paraId="5A87A59D">
      <w:pPr>
        <w:pStyle w:val="2"/>
        <w:spacing w:before="6"/>
        <w:rPr>
          <w:color w:val="auto"/>
          <w:sz w:val="21"/>
          <w:szCs w:val="21"/>
          <w:highlight w:val="none"/>
        </w:rPr>
      </w:pPr>
    </w:p>
    <w:p w14:paraId="7F6B015F">
      <w:pPr>
        <w:pStyle w:val="18"/>
        <w:numPr>
          <w:ilvl w:val="0"/>
          <w:numId w:val="12"/>
        </w:numPr>
        <w:tabs>
          <w:tab w:val="left" w:pos="869"/>
        </w:tabs>
        <w:ind w:hanging="317"/>
        <w:jc w:val="left"/>
        <w:rPr>
          <w:color w:val="auto"/>
          <w:szCs w:val="21"/>
          <w:highlight w:val="none"/>
        </w:rPr>
      </w:pPr>
      <w:r>
        <w:rPr>
          <w:color w:val="auto"/>
          <w:szCs w:val="21"/>
          <w:highlight w:val="none"/>
        </w:rPr>
        <w:t>承包人保证执行“谁施工、谁负责”的施工安全原则。</w:t>
      </w:r>
    </w:p>
    <w:p w14:paraId="578291F8">
      <w:pPr>
        <w:pStyle w:val="2"/>
        <w:spacing w:before="6"/>
        <w:rPr>
          <w:color w:val="auto"/>
          <w:sz w:val="21"/>
          <w:szCs w:val="21"/>
          <w:highlight w:val="none"/>
        </w:rPr>
      </w:pPr>
    </w:p>
    <w:p w14:paraId="3F29CA83">
      <w:pPr>
        <w:pStyle w:val="18"/>
        <w:numPr>
          <w:ilvl w:val="0"/>
          <w:numId w:val="12"/>
        </w:numPr>
        <w:tabs>
          <w:tab w:val="left" w:pos="869"/>
        </w:tabs>
        <w:ind w:hanging="317"/>
        <w:jc w:val="left"/>
        <w:rPr>
          <w:color w:val="auto"/>
          <w:szCs w:val="21"/>
          <w:highlight w:val="none"/>
        </w:rPr>
      </w:pPr>
      <w:r>
        <w:rPr>
          <w:color w:val="auto"/>
          <w:szCs w:val="21"/>
          <w:highlight w:val="none"/>
        </w:rPr>
        <w:t>承包人保证服从发包人对安全工作的统一协调和管理。</w:t>
      </w:r>
    </w:p>
    <w:p w14:paraId="59844DD4">
      <w:pPr>
        <w:pStyle w:val="2"/>
        <w:spacing w:before="7"/>
        <w:rPr>
          <w:color w:val="auto"/>
          <w:sz w:val="21"/>
          <w:szCs w:val="21"/>
          <w:highlight w:val="none"/>
        </w:rPr>
      </w:pPr>
    </w:p>
    <w:p w14:paraId="3B0A0EE1">
      <w:pPr>
        <w:pStyle w:val="18"/>
        <w:numPr>
          <w:ilvl w:val="0"/>
          <w:numId w:val="12"/>
        </w:numPr>
        <w:tabs>
          <w:tab w:val="left" w:pos="1039"/>
        </w:tabs>
        <w:ind w:left="1038"/>
        <w:jc w:val="left"/>
        <w:rPr>
          <w:color w:val="auto"/>
          <w:szCs w:val="21"/>
          <w:highlight w:val="none"/>
        </w:rPr>
      </w:pPr>
      <w:r>
        <w:rPr>
          <w:color w:val="auto"/>
          <w:szCs w:val="21"/>
          <w:highlight w:val="none"/>
        </w:rPr>
        <w:t>承包人保证对本工程项目安全生产条件及其管理资源自行投入，保证安全资金的专款专用。</w:t>
      </w:r>
    </w:p>
    <w:p w14:paraId="4DA51111">
      <w:pPr>
        <w:pStyle w:val="2"/>
        <w:spacing w:before="7"/>
        <w:rPr>
          <w:color w:val="auto"/>
          <w:sz w:val="21"/>
          <w:szCs w:val="21"/>
          <w:highlight w:val="none"/>
        </w:rPr>
      </w:pPr>
    </w:p>
    <w:p w14:paraId="33E033A3">
      <w:pPr>
        <w:pStyle w:val="18"/>
        <w:numPr>
          <w:ilvl w:val="0"/>
          <w:numId w:val="12"/>
        </w:numPr>
        <w:tabs>
          <w:tab w:val="left" w:pos="1039"/>
        </w:tabs>
        <w:spacing w:line="417" w:lineRule="auto"/>
        <w:ind w:left="303" w:right="272" w:firstLine="420"/>
        <w:jc w:val="left"/>
        <w:rPr>
          <w:color w:val="auto"/>
          <w:szCs w:val="21"/>
          <w:highlight w:val="none"/>
        </w:rPr>
      </w:pPr>
      <w:r>
        <w:rPr>
          <w:color w:val="auto"/>
          <w:szCs w:val="21"/>
          <w:highlight w:val="none"/>
        </w:rPr>
        <w:t>承包人保证建立本工程项目的安全管理体系及安全保证体系（注：项目安全管理大纲/手册、管理性的程序文件等）。</w:t>
      </w:r>
    </w:p>
    <w:p w14:paraId="4029C02D">
      <w:pPr>
        <w:pStyle w:val="18"/>
        <w:numPr>
          <w:ilvl w:val="0"/>
          <w:numId w:val="12"/>
        </w:numPr>
        <w:tabs>
          <w:tab w:val="left" w:pos="1039"/>
        </w:tabs>
        <w:spacing w:line="269" w:lineRule="exact"/>
        <w:ind w:left="1038"/>
        <w:jc w:val="left"/>
        <w:rPr>
          <w:color w:val="auto"/>
          <w:szCs w:val="21"/>
          <w:highlight w:val="none"/>
        </w:rPr>
      </w:pPr>
      <w:r>
        <w:rPr>
          <w:color w:val="auto"/>
          <w:szCs w:val="21"/>
          <w:highlight w:val="none"/>
        </w:rPr>
        <w:t>承包人保证现场的安全管理专职人员必须持有建设主管部门安全生产培训考核合格证书。</w:t>
      </w:r>
    </w:p>
    <w:p w14:paraId="18448C42">
      <w:pPr>
        <w:pStyle w:val="2"/>
        <w:spacing w:before="6"/>
        <w:rPr>
          <w:color w:val="auto"/>
          <w:sz w:val="21"/>
          <w:szCs w:val="21"/>
          <w:highlight w:val="none"/>
        </w:rPr>
      </w:pPr>
    </w:p>
    <w:p w14:paraId="090979CD">
      <w:pPr>
        <w:pStyle w:val="18"/>
        <w:numPr>
          <w:ilvl w:val="0"/>
          <w:numId w:val="12"/>
        </w:numPr>
        <w:tabs>
          <w:tab w:val="left" w:pos="1039"/>
        </w:tabs>
        <w:spacing w:before="1" w:line="417" w:lineRule="auto"/>
        <w:ind w:left="303" w:right="271" w:firstLine="420"/>
        <w:jc w:val="left"/>
        <w:rPr>
          <w:color w:val="auto"/>
          <w:szCs w:val="21"/>
          <w:highlight w:val="none"/>
        </w:rPr>
      </w:pPr>
      <w:r>
        <w:rPr>
          <w:color w:val="auto"/>
          <w:szCs w:val="21"/>
          <w:highlight w:val="none"/>
        </w:rPr>
        <w:t>承包人保证为现场所有工作人员（含分包商员工及劳务人员）配备符合国家标准的有承包人和/或其下属分包商标志的个人基本劳动保护用品。</w:t>
      </w:r>
    </w:p>
    <w:p w14:paraId="2587DE32">
      <w:pPr>
        <w:pStyle w:val="18"/>
        <w:numPr>
          <w:ilvl w:val="0"/>
          <w:numId w:val="12"/>
        </w:numPr>
        <w:tabs>
          <w:tab w:val="left" w:pos="1145"/>
        </w:tabs>
        <w:spacing w:line="417" w:lineRule="auto"/>
        <w:ind w:left="303" w:right="273" w:firstLine="420"/>
        <w:jc w:val="left"/>
        <w:rPr>
          <w:color w:val="auto"/>
          <w:szCs w:val="21"/>
          <w:highlight w:val="none"/>
        </w:rPr>
      </w:pPr>
      <w:r>
        <w:rPr>
          <w:color w:val="auto"/>
          <w:szCs w:val="21"/>
          <w:highlight w:val="none"/>
        </w:rPr>
        <w:t>承包人保证按照国家法律规定为现场所有工作人员（含分包商员工及劳务人员）购买意外伤害保险。</w:t>
      </w:r>
    </w:p>
    <w:p w14:paraId="399B321D">
      <w:pPr>
        <w:pStyle w:val="18"/>
        <w:numPr>
          <w:ilvl w:val="0"/>
          <w:numId w:val="12"/>
        </w:numPr>
        <w:tabs>
          <w:tab w:val="left" w:pos="1145"/>
        </w:tabs>
        <w:spacing w:line="417" w:lineRule="auto"/>
        <w:ind w:left="303" w:right="273" w:firstLine="420"/>
        <w:jc w:val="left"/>
        <w:rPr>
          <w:color w:val="auto"/>
          <w:szCs w:val="21"/>
          <w:highlight w:val="none"/>
        </w:rPr>
      </w:pPr>
      <w:r>
        <w:rPr>
          <w:color w:val="auto"/>
          <w:szCs w:val="21"/>
          <w:highlight w:val="none"/>
        </w:rPr>
        <w:t>承包人保证施工生活营地（包括自建的和租用的营地）满足消防、安全用电、卫生防疫、防暴雨、防雷击等方面的安全要求。</w:t>
      </w:r>
    </w:p>
    <w:p w14:paraId="4E59E727">
      <w:pPr>
        <w:pStyle w:val="18"/>
        <w:numPr>
          <w:ilvl w:val="0"/>
          <w:numId w:val="12"/>
        </w:numPr>
        <w:tabs>
          <w:tab w:val="left" w:pos="1145"/>
        </w:tabs>
        <w:spacing w:line="417" w:lineRule="auto"/>
        <w:ind w:left="303" w:right="273" w:firstLine="420"/>
        <w:jc w:val="left"/>
        <w:rPr>
          <w:color w:val="auto"/>
          <w:szCs w:val="21"/>
          <w:highlight w:val="none"/>
        </w:rPr>
      </w:pPr>
      <w:r>
        <w:rPr>
          <w:color w:val="auto"/>
          <w:szCs w:val="21"/>
          <w:highlight w:val="none"/>
        </w:rPr>
        <w:t>承包人保证对带入现场的设备、工具、材料按照国家法规和标准进行检测、试验，并持有法定部门出具的检验证书。</w:t>
      </w:r>
    </w:p>
    <w:p w14:paraId="6F9E0596">
      <w:pPr>
        <w:pStyle w:val="18"/>
        <w:numPr>
          <w:ilvl w:val="0"/>
          <w:numId w:val="12"/>
        </w:numPr>
        <w:tabs>
          <w:tab w:val="left" w:pos="1145"/>
        </w:tabs>
        <w:spacing w:line="417" w:lineRule="auto"/>
        <w:ind w:left="303" w:right="273" w:firstLine="420"/>
        <w:jc w:val="left"/>
        <w:rPr>
          <w:color w:val="auto"/>
          <w:szCs w:val="21"/>
          <w:highlight w:val="none"/>
        </w:rPr>
      </w:pPr>
      <w:r>
        <w:rPr>
          <w:color w:val="auto"/>
          <w:szCs w:val="21"/>
          <w:highlight w:val="none"/>
        </w:rPr>
        <w:t>承包人保证制订施工现场的文明施工措施，保护环境、树木和植被，保持施工现场的良好秩序和整洁的作业环境。</w:t>
      </w:r>
    </w:p>
    <w:p w14:paraId="6871F8E6">
      <w:pPr>
        <w:pStyle w:val="18"/>
        <w:numPr>
          <w:ilvl w:val="0"/>
          <w:numId w:val="12"/>
        </w:numPr>
        <w:tabs>
          <w:tab w:val="left" w:pos="1145"/>
        </w:tabs>
        <w:spacing w:line="417" w:lineRule="auto"/>
        <w:ind w:left="303" w:right="273" w:firstLine="420"/>
        <w:jc w:val="left"/>
        <w:rPr>
          <w:color w:val="auto"/>
          <w:szCs w:val="21"/>
          <w:highlight w:val="none"/>
        </w:rPr>
      </w:pPr>
      <w:r>
        <w:rPr>
          <w:color w:val="auto"/>
          <w:szCs w:val="21"/>
          <w:highlight w:val="none"/>
        </w:rPr>
        <w:t>承包人负责在施工过程中与当地政府、周边群众及其他承包商保持良好的沟通和交流。承包人遇到与周边群众发生纠纷时，应负责协调工作，确保工程能够顺利进行。</w:t>
      </w:r>
    </w:p>
    <w:p w14:paraId="35961FB8">
      <w:pPr>
        <w:pStyle w:val="2"/>
        <w:spacing w:line="269" w:lineRule="exact"/>
        <w:ind w:left="723"/>
        <w:rPr>
          <w:color w:val="auto"/>
          <w:sz w:val="21"/>
          <w:szCs w:val="21"/>
          <w:highlight w:val="none"/>
        </w:rPr>
      </w:pPr>
      <w:r>
        <w:rPr>
          <w:color w:val="auto"/>
          <w:sz w:val="21"/>
          <w:szCs w:val="21"/>
          <w:highlight w:val="none"/>
        </w:rPr>
        <w:t>四、接口及协调</w:t>
      </w:r>
    </w:p>
    <w:p w14:paraId="357F7D79">
      <w:pPr>
        <w:pStyle w:val="2"/>
        <w:spacing w:before="4"/>
        <w:rPr>
          <w:color w:val="auto"/>
          <w:sz w:val="21"/>
          <w:szCs w:val="21"/>
          <w:highlight w:val="none"/>
        </w:rPr>
      </w:pPr>
    </w:p>
    <w:p w14:paraId="2BB1F361">
      <w:pPr>
        <w:pStyle w:val="18"/>
        <w:numPr>
          <w:ilvl w:val="0"/>
          <w:numId w:val="13"/>
        </w:numPr>
        <w:tabs>
          <w:tab w:val="left" w:pos="1039"/>
        </w:tabs>
        <w:spacing w:before="1" w:line="417" w:lineRule="auto"/>
        <w:ind w:right="149" w:firstLine="420"/>
        <w:jc w:val="left"/>
        <w:rPr>
          <w:color w:val="auto"/>
          <w:szCs w:val="21"/>
          <w:highlight w:val="none"/>
        </w:rPr>
      </w:pPr>
      <w:r>
        <w:rPr>
          <w:color w:val="auto"/>
          <w:spacing w:val="-6"/>
          <w:szCs w:val="21"/>
          <w:highlight w:val="none"/>
        </w:rPr>
        <w:t>发包人委托监理公司对该工程实施监理，监理公司在安全管理方面代表发包人行使监督检查职能，承包人必须给予配合和支持。</w:t>
      </w:r>
    </w:p>
    <w:p w14:paraId="29B98266">
      <w:pPr>
        <w:pStyle w:val="18"/>
        <w:numPr>
          <w:ilvl w:val="0"/>
          <w:numId w:val="13"/>
        </w:numPr>
        <w:tabs>
          <w:tab w:val="left" w:pos="1039"/>
        </w:tabs>
        <w:spacing w:line="417" w:lineRule="auto"/>
        <w:ind w:right="257" w:firstLine="420"/>
        <w:jc w:val="left"/>
        <w:rPr>
          <w:color w:val="auto"/>
          <w:szCs w:val="21"/>
          <w:highlight w:val="none"/>
        </w:rPr>
      </w:pPr>
      <w:r>
        <w:rPr>
          <w:color w:val="auto"/>
          <w:spacing w:val="-6"/>
          <w:szCs w:val="21"/>
          <w:highlight w:val="none"/>
        </w:rPr>
        <w:t>承包人人员、车辆的出入，带入现场的设备、机具、材料，在现场使用的或直接管理的办公、生</w:t>
      </w:r>
      <w:r>
        <w:rPr>
          <w:color w:val="auto"/>
          <w:spacing w:val="-8"/>
          <w:szCs w:val="21"/>
          <w:highlight w:val="none"/>
        </w:rPr>
        <w:t>活、生产性设施的安全管理须满足发包人现场管理的基本要求。</w:t>
      </w:r>
    </w:p>
    <w:p w14:paraId="440257EB">
      <w:pPr>
        <w:pStyle w:val="18"/>
        <w:numPr>
          <w:ilvl w:val="0"/>
          <w:numId w:val="13"/>
        </w:numPr>
        <w:tabs>
          <w:tab w:val="left" w:pos="1039"/>
        </w:tabs>
        <w:spacing w:line="417" w:lineRule="auto"/>
        <w:ind w:right="256" w:firstLine="420"/>
        <w:rPr>
          <w:color w:val="auto"/>
          <w:szCs w:val="21"/>
          <w:highlight w:val="none"/>
        </w:rPr>
      </w:pPr>
      <w:r>
        <w:rPr>
          <w:color w:val="auto"/>
          <w:spacing w:val="-3"/>
          <w:szCs w:val="21"/>
          <w:highlight w:val="none"/>
        </w:rPr>
        <w:t>承包人应指定专职安全管理人员与发包人委托的监理公司接口，参与安全协调和管理。安全协调和管理的内容包括职业健康、工业安全、消防安全、卫生防疫、交通安全、环境保护、治安保卫等各方面。</w:t>
      </w:r>
    </w:p>
    <w:p w14:paraId="7B89DFF7">
      <w:pPr>
        <w:pStyle w:val="18"/>
        <w:numPr>
          <w:ilvl w:val="0"/>
          <w:numId w:val="13"/>
        </w:numPr>
        <w:tabs>
          <w:tab w:val="left" w:pos="1039"/>
        </w:tabs>
        <w:spacing w:line="417" w:lineRule="auto"/>
        <w:ind w:right="256" w:firstLine="420"/>
        <w:rPr>
          <w:color w:val="auto"/>
          <w:szCs w:val="21"/>
          <w:highlight w:val="none"/>
        </w:rPr>
      </w:pPr>
      <w:r>
        <w:rPr>
          <w:color w:val="auto"/>
          <w:spacing w:val="-2"/>
          <w:szCs w:val="21"/>
          <w:highlight w:val="none"/>
        </w:rPr>
        <w:t>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4DEF05B9">
      <w:pPr>
        <w:pStyle w:val="18"/>
        <w:numPr>
          <w:ilvl w:val="0"/>
          <w:numId w:val="13"/>
        </w:numPr>
        <w:tabs>
          <w:tab w:val="left" w:pos="869"/>
        </w:tabs>
        <w:spacing w:before="142" w:line="417" w:lineRule="auto"/>
        <w:ind w:left="132" w:right="424" w:firstLine="420"/>
        <w:jc w:val="left"/>
        <w:rPr>
          <w:color w:val="auto"/>
          <w:szCs w:val="21"/>
          <w:highlight w:val="none"/>
        </w:rPr>
      </w:pPr>
      <w:r>
        <w:rPr>
          <w:color w:val="auto"/>
          <w:spacing w:val="-2"/>
          <w:szCs w:val="21"/>
          <w:highlight w:val="none"/>
        </w:rPr>
        <w:t>承包人指定的专职安全管理人员应与发包人委托的监理公司建立联系，在业务上接受发包人委托的监理公司的协调和指导。</w:t>
      </w:r>
    </w:p>
    <w:p w14:paraId="6B39E5F3">
      <w:pPr>
        <w:pStyle w:val="18"/>
        <w:numPr>
          <w:ilvl w:val="0"/>
          <w:numId w:val="13"/>
        </w:numPr>
        <w:tabs>
          <w:tab w:val="left" w:pos="869"/>
        </w:tabs>
        <w:spacing w:line="417" w:lineRule="auto"/>
        <w:ind w:left="132" w:right="318" w:firstLine="420"/>
        <w:jc w:val="left"/>
        <w:rPr>
          <w:color w:val="auto"/>
          <w:szCs w:val="21"/>
          <w:highlight w:val="none"/>
        </w:rPr>
      </w:pPr>
      <w:r>
        <w:rPr>
          <w:color w:val="auto"/>
          <w:spacing w:val="-3"/>
          <w:szCs w:val="21"/>
          <w:highlight w:val="none"/>
        </w:rPr>
        <w:t>开工后承包人的专职安全管理人员应按照发包人委托的监理公司的规定，定期报送安全月度快报、季报、年报和各种专项事故报告等。</w:t>
      </w:r>
    </w:p>
    <w:p w14:paraId="65DEB9AD">
      <w:pPr>
        <w:pStyle w:val="18"/>
        <w:numPr>
          <w:ilvl w:val="0"/>
          <w:numId w:val="13"/>
        </w:numPr>
        <w:tabs>
          <w:tab w:val="left" w:pos="869"/>
        </w:tabs>
        <w:spacing w:line="417" w:lineRule="auto"/>
        <w:ind w:left="552" w:right="318" w:firstLine="0"/>
        <w:jc w:val="left"/>
        <w:rPr>
          <w:color w:val="auto"/>
          <w:szCs w:val="21"/>
          <w:highlight w:val="none"/>
        </w:rPr>
      </w:pPr>
      <w:r>
        <w:rPr>
          <w:color w:val="auto"/>
          <w:spacing w:val="-4"/>
          <w:szCs w:val="21"/>
          <w:highlight w:val="none"/>
        </w:rPr>
        <w:t>在工程实体未全部正式移交发包人施工管理部门之前，承包人依旧对施工范围内的安全管理负责。五、安全资质审查</w:t>
      </w:r>
    </w:p>
    <w:p w14:paraId="4196E4F6">
      <w:pPr>
        <w:pStyle w:val="2"/>
        <w:spacing w:line="417" w:lineRule="auto"/>
        <w:ind w:left="552" w:right="863"/>
        <w:rPr>
          <w:color w:val="auto"/>
          <w:sz w:val="21"/>
          <w:szCs w:val="21"/>
          <w:highlight w:val="none"/>
        </w:rPr>
      </w:pPr>
      <w:r>
        <w:rPr>
          <w:color w:val="auto"/>
          <w:spacing w:val="-6"/>
          <w:sz w:val="21"/>
          <w:szCs w:val="21"/>
          <w:highlight w:val="none"/>
        </w:rPr>
        <w:t xml:space="preserve">承包人在项目开工前 </w:t>
      </w:r>
      <w:r>
        <w:rPr>
          <w:color w:val="auto"/>
          <w:sz w:val="21"/>
          <w:szCs w:val="21"/>
          <w:highlight w:val="none"/>
        </w:rPr>
        <w:t>5</w:t>
      </w:r>
      <w:r>
        <w:rPr>
          <w:color w:val="auto"/>
          <w:spacing w:val="-9"/>
          <w:sz w:val="21"/>
          <w:szCs w:val="21"/>
          <w:highlight w:val="none"/>
        </w:rPr>
        <w:t xml:space="preserve"> 个工作天内向发包人委托的监理公司提供以下安全资质供审查和存档： 1．企业安全生产许可证书复印件。</w:t>
      </w:r>
    </w:p>
    <w:p w14:paraId="0AC5F2AA">
      <w:pPr>
        <w:pStyle w:val="18"/>
        <w:numPr>
          <w:ilvl w:val="0"/>
          <w:numId w:val="14"/>
        </w:numPr>
        <w:tabs>
          <w:tab w:val="left" w:pos="869"/>
        </w:tabs>
        <w:spacing w:line="269" w:lineRule="exact"/>
        <w:ind w:hanging="317"/>
        <w:jc w:val="left"/>
        <w:rPr>
          <w:color w:val="auto"/>
          <w:szCs w:val="21"/>
          <w:highlight w:val="none"/>
        </w:rPr>
      </w:pPr>
      <w:r>
        <w:rPr>
          <w:color w:val="auto"/>
          <w:szCs w:val="21"/>
          <w:highlight w:val="none"/>
        </w:rPr>
        <w:t>企业近三年的施工简历及安全施工业绩证明文件。</w:t>
      </w:r>
    </w:p>
    <w:p w14:paraId="7607BB60">
      <w:pPr>
        <w:pStyle w:val="2"/>
        <w:spacing w:before="5"/>
        <w:rPr>
          <w:color w:val="auto"/>
          <w:sz w:val="21"/>
          <w:szCs w:val="21"/>
          <w:highlight w:val="none"/>
        </w:rPr>
      </w:pPr>
    </w:p>
    <w:p w14:paraId="1049593B">
      <w:pPr>
        <w:pStyle w:val="18"/>
        <w:numPr>
          <w:ilvl w:val="0"/>
          <w:numId w:val="14"/>
        </w:numPr>
        <w:tabs>
          <w:tab w:val="left" w:pos="869"/>
        </w:tabs>
        <w:spacing w:before="1" w:line="417" w:lineRule="auto"/>
        <w:ind w:left="132" w:right="424" w:firstLine="420"/>
        <w:jc w:val="left"/>
        <w:rPr>
          <w:color w:val="auto"/>
          <w:szCs w:val="21"/>
          <w:highlight w:val="none"/>
        </w:rPr>
      </w:pPr>
      <w:r>
        <w:rPr>
          <w:color w:val="auto"/>
          <w:spacing w:val="-9"/>
          <w:szCs w:val="21"/>
          <w:highlight w:val="none"/>
        </w:rPr>
        <w:t>企业主要安全管理人员（包括项目经理、专职安全管理人员）经建设主管部门安全生产知识考核</w:t>
      </w:r>
      <w:r>
        <w:rPr>
          <w:color w:val="auto"/>
          <w:szCs w:val="21"/>
          <w:highlight w:val="none"/>
        </w:rPr>
        <w:t>合格证书。</w:t>
      </w:r>
    </w:p>
    <w:p w14:paraId="455B36C8">
      <w:pPr>
        <w:pStyle w:val="18"/>
        <w:numPr>
          <w:ilvl w:val="0"/>
          <w:numId w:val="14"/>
        </w:numPr>
        <w:tabs>
          <w:tab w:val="left" w:pos="869"/>
        </w:tabs>
        <w:spacing w:line="269" w:lineRule="exact"/>
        <w:ind w:hanging="317"/>
        <w:jc w:val="left"/>
        <w:rPr>
          <w:color w:val="auto"/>
          <w:szCs w:val="21"/>
          <w:highlight w:val="none"/>
        </w:rPr>
      </w:pPr>
      <w:r>
        <w:rPr>
          <w:color w:val="auto"/>
          <w:szCs w:val="21"/>
          <w:highlight w:val="none"/>
        </w:rPr>
        <w:t>特种作业人员资格证书。</w:t>
      </w:r>
    </w:p>
    <w:p w14:paraId="34242E2B">
      <w:pPr>
        <w:pStyle w:val="2"/>
        <w:spacing w:before="6"/>
        <w:rPr>
          <w:color w:val="auto"/>
          <w:sz w:val="21"/>
          <w:szCs w:val="21"/>
          <w:highlight w:val="none"/>
        </w:rPr>
      </w:pPr>
    </w:p>
    <w:p w14:paraId="09FD7466">
      <w:pPr>
        <w:pStyle w:val="18"/>
        <w:numPr>
          <w:ilvl w:val="0"/>
          <w:numId w:val="14"/>
        </w:numPr>
        <w:tabs>
          <w:tab w:val="left" w:pos="869"/>
        </w:tabs>
        <w:ind w:hanging="317"/>
        <w:jc w:val="left"/>
        <w:rPr>
          <w:color w:val="auto"/>
          <w:szCs w:val="21"/>
          <w:highlight w:val="none"/>
        </w:rPr>
      </w:pPr>
      <w:r>
        <w:rPr>
          <w:color w:val="auto"/>
          <w:szCs w:val="21"/>
          <w:highlight w:val="none"/>
        </w:rPr>
        <w:t>项目安全管理机构及其人员配备（承包人必须配有专职的安全员）。</w:t>
      </w:r>
    </w:p>
    <w:p w14:paraId="221E0BB5">
      <w:pPr>
        <w:pStyle w:val="2"/>
        <w:spacing w:before="7"/>
        <w:rPr>
          <w:color w:val="auto"/>
          <w:sz w:val="21"/>
          <w:szCs w:val="21"/>
          <w:highlight w:val="none"/>
        </w:rPr>
      </w:pPr>
    </w:p>
    <w:p w14:paraId="4B2E4623">
      <w:pPr>
        <w:pStyle w:val="18"/>
        <w:numPr>
          <w:ilvl w:val="0"/>
          <w:numId w:val="14"/>
        </w:numPr>
        <w:tabs>
          <w:tab w:val="left" w:pos="869"/>
        </w:tabs>
        <w:spacing w:line="417" w:lineRule="auto"/>
        <w:ind w:left="552" w:right="1809" w:firstLine="0"/>
        <w:jc w:val="left"/>
        <w:rPr>
          <w:color w:val="auto"/>
          <w:szCs w:val="21"/>
          <w:highlight w:val="none"/>
        </w:rPr>
      </w:pPr>
      <w:r>
        <w:rPr>
          <w:color w:val="auto"/>
          <w:w w:val="95"/>
          <w:szCs w:val="21"/>
          <w:highlight w:val="none"/>
        </w:rPr>
        <w:t>适</w:t>
      </w:r>
      <w:r>
        <w:rPr>
          <w:color w:val="auto"/>
          <w:szCs w:val="21"/>
          <w:highlight w:val="none"/>
        </w:rPr>
        <w:t>用于项目的安全管理体系及保证体系文件（安全管理大纲及管理程序文件）。  六、人员基本素质</w:t>
      </w:r>
    </w:p>
    <w:p w14:paraId="630501C4">
      <w:pPr>
        <w:pStyle w:val="2"/>
        <w:spacing w:line="269" w:lineRule="exact"/>
        <w:ind w:left="552"/>
        <w:rPr>
          <w:color w:val="auto"/>
          <w:sz w:val="21"/>
          <w:szCs w:val="21"/>
          <w:highlight w:val="none"/>
        </w:rPr>
      </w:pPr>
      <w:r>
        <w:rPr>
          <w:color w:val="auto"/>
          <w:sz w:val="21"/>
          <w:szCs w:val="21"/>
          <w:highlight w:val="none"/>
        </w:rPr>
        <w:t>承包人提供的人员必须满足下列要求：</w:t>
      </w:r>
    </w:p>
    <w:p w14:paraId="2B0EBA0B">
      <w:pPr>
        <w:pStyle w:val="2"/>
        <w:spacing w:before="7"/>
        <w:rPr>
          <w:color w:val="auto"/>
          <w:sz w:val="21"/>
          <w:szCs w:val="21"/>
          <w:highlight w:val="none"/>
        </w:rPr>
      </w:pPr>
    </w:p>
    <w:p w14:paraId="2FB65647">
      <w:pPr>
        <w:pStyle w:val="18"/>
        <w:numPr>
          <w:ilvl w:val="0"/>
          <w:numId w:val="15"/>
        </w:numPr>
        <w:tabs>
          <w:tab w:val="left" w:pos="869"/>
        </w:tabs>
        <w:spacing w:line="417" w:lineRule="auto"/>
        <w:ind w:right="426" w:firstLine="420"/>
        <w:rPr>
          <w:color w:val="auto"/>
          <w:szCs w:val="21"/>
          <w:highlight w:val="none"/>
        </w:rPr>
      </w:pPr>
      <w:r>
        <w:rPr>
          <w:color w:val="auto"/>
          <w:szCs w:val="21"/>
          <w:highlight w:val="none"/>
        </w:rPr>
        <w:t>身体健康，无影响工作的精神疾病、无传染病和其他重大疾病；承包人需对其雇用的施工人员签</w:t>
      </w:r>
      <w:r>
        <w:rPr>
          <w:color w:val="auto"/>
          <w:spacing w:val="-8"/>
          <w:szCs w:val="21"/>
          <w:highlight w:val="none"/>
        </w:rPr>
        <w:t>发健康声明并保证其健康。其中体检证明材料（县级以上医院）和健康声明作为人员办理入场证件的必备材料。</w:t>
      </w:r>
    </w:p>
    <w:p w14:paraId="4B07F7CF">
      <w:pPr>
        <w:pStyle w:val="18"/>
        <w:numPr>
          <w:ilvl w:val="0"/>
          <w:numId w:val="15"/>
        </w:numPr>
        <w:tabs>
          <w:tab w:val="left" w:pos="869"/>
        </w:tabs>
        <w:spacing w:line="269" w:lineRule="exact"/>
        <w:ind w:left="868" w:hanging="317"/>
        <w:jc w:val="left"/>
        <w:rPr>
          <w:color w:val="auto"/>
          <w:szCs w:val="21"/>
          <w:highlight w:val="none"/>
        </w:rPr>
      </w:pPr>
      <w:r>
        <w:rPr>
          <w:color w:val="auto"/>
          <w:szCs w:val="21"/>
          <w:highlight w:val="none"/>
        </w:rPr>
        <w:t>无刑事案件牵连。</w:t>
      </w:r>
    </w:p>
    <w:p w14:paraId="4A5A2D7C">
      <w:pPr>
        <w:pStyle w:val="2"/>
        <w:spacing w:before="6"/>
        <w:rPr>
          <w:color w:val="auto"/>
          <w:sz w:val="21"/>
          <w:szCs w:val="21"/>
          <w:highlight w:val="none"/>
        </w:rPr>
      </w:pPr>
    </w:p>
    <w:p w14:paraId="15070DB4">
      <w:pPr>
        <w:pStyle w:val="18"/>
        <w:numPr>
          <w:ilvl w:val="0"/>
          <w:numId w:val="15"/>
        </w:numPr>
        <w:tabs>
          <w:tab w:val="left" w:pos="869"/>
        </w:tabs>
        <w:spacing w:before="1" w:line="417" w:lineRule="auto"/>
        <w:ind w:left="552" w:right="4748" w:firstLine="0"/>
        <w:jc w:val="left"/>
        <w:rPr>
          <w:color w:val="auto"/>
          <w:szCs w:val="21"/>
          <w:highlight w:val="none"/>
        </w:rPr>
      </w:pPr>
      <w:r>
        <w:rPr>
          <w:color w:val="auto"/>
          <w:spacing w:val="-8"/>
          <w:szCs w:val="21"/>
          <w:highlight w:val="none"/>
        </w:rPr>
        <w:t>无吸毒、酗酒、赌博、嫖娼等恶习及违法行为。</w:t>
      </w:r>
    </w:p>
    <w:p w14:paraId="0279C0D3">
      <w:pPr>
        <w:pStyle w:val="18"/>
        <w:tabs>
          <w:tab w:val="left" w:pos="869"/>
        </w:tabs>
        <w:spacing w:before="1" w:line="417" w:lineRule="auto"/>
        <w:ind w:left="552" w:right="4748" w:firstLine="0"/>
        <w:jc w:val="left"/>
        <w:rPr>
          <w:color w:val="auto"/>
          <w:szCs w:val="21"/>
          <w:highlight w:val="none"/>
        </w:rPr>
      </w:pPr>
      <w:r>
        <w:rPr>
          <w:color w:val="auto"/>
          <w:szCs w:val="21"/>
          <w:highlight w:val="none"/>
        </w:rPr>
        <w:t>七、劳动保护</w:t>
      </w:r>
    </w:p>
    <w:p w14:paraId="13C3AEDD">
      <w:pPr>
        <w:pStyle w:val="18"/>
        <w:numPr>
          <w:ilvl w:val="0"/>
          <w:numId w:val="16"/>
        </w:numPr>
        <w:tabs>
          <w:tab w:val="left" w:pos="869"/>
        </w:tabs>
        <w:spacing w:line="417" w:lineRule="auto"/>
        <w:ind w:right="424" w:firstLine="420"/>
        <w:jc w:val="left"/>
        <w:rPr>
          <w:color w:val="auto"/>
          <w:szCs w:val="21"/>
          <w:highlight w:val="none"/>
        </w:rPr>
      </w:pPr>
      <w:r>
        <w:rPr>
          <w:color w:val="auto"/>
          <w:spacing w:val="-8"/>
          <w:szCs w:val="21"/>
          <w:highlight w:val="none"/>
        </w:rPr>
        <w:t>承包人负责为本单位任何用工形式的员工提供个人劳动保护用品（包括工作服、安全帽、安全鞋</w:t>
      </w:r>
      <w:r>
        <w:rPr>
          <w:color w:val="auto"/>
          <w:spacing w:val="-6"/>
          <w:szCs w:val="21"/>
          <w:highlight w:val="none"/>
        </w:rPr>
        <w:t>等）。</w:t>
      </w:r>
    </w:p>
    <w:p w14:paraId="40543371">
      <w:pPr>
        <w:pStyle w:val="18"/>
        <w:numPr>
          <w:ilvl w:val="0"/>
          <w:numId w:val="16"/>
        </w:numPr>
        <w:tabs>
          <w:tab w:val="left" w:pos="869"/>
        </w:tabs>
        <w:spacing w:line="269" w:lineRule="exact"/>
        <w:ind w:left="868" w:hanging="317"/>
        <w:jc w:val="left"/>
        <w:rPr>
          <w:color w:val="auto"/>
          <w:szCs w:val="21"/>
          <w:highlight w:val="none"/>
        </w:rPr>
      </w:pPr>
      <w:r>
        <w:rPr>
          <w:color w:val="auto"/>
          <w:szCs w:val="21"/>
          <w:highlight w:val="none"/>
        </w:rPr>
        <w:t>承包人负责向特殊工种的员工提供特殊劳动保护，否则不得从事特殊工种作业。</w:t>
      </w:r>
    </w:p>
    <w:p w14:paraId="1BAEA0C3">
      <w:pPr>
        <w:pStyle w:val="2"/>
        <w:spacing w:before="6"/>
        <w:rPr>
          <w:color w:val="auto"/>
          <w:sz w:val="21"/>
          <w:szCs w:val="21"/>
          <w:highlight w:val="none"/>
        </w:rPr>
      </w:pPr>
    </w:p>
    <w:p w14:paraId="5C124D04">
      <w:pPr>
        <w:pStyle w:val="18"/>
        <w:numPr>
          <w:ilvl w:val="0"/>
          <w:numId w:val="16"/>
        </w:numPr>
        <w:tabs>
          <w:tab w:val="left" w:pos="869"/>
        </w:tabs>
        <w:ind w:left="868" w:hanging="317"/>
        <w:jc w:val="left"/>
        <w:rPr>
          <w:color w:val="auto"/>
          <w:szCs w:val="21"/>
          <w:highlight w:val="none"/>
        </w:rPr>
      </w:pPr>
      <w:r>
        <w:rPr>
          <w:color w:val="auto"/>
          <w:szCs w:val="21"/>
          <w:highlight w:val="none"/>
        </w:rPr>
        <w:t>发包人委托的监理公司有权检查承包人的个人劳动保护用品是否符合国家的相应标准。</w:t>
      </w:r>
    </w:p>
    <w:p w14:paraId="57B06D2B">
      <w:pPr>
        <w:pStyle w:val="2"/>
        <w:spacing w:before="7"/>
        <w:rPr>
          <w:color w:val="auto"/>
          <w:sz w:val="21"/>
          <w:szCs w:val="21"/>
          <w:highlight w:val="none"/>
        </w:rPr>
      </w:pPr>
    </w:p>
    <w:p w14:paraId="64A504E8">
      <w:pPr>
        <w:pStyle w:val="18"/>
        <w:numPr>
          <w:ilvl w:val="0"/>
          <w:numId w:val="16"/>
        </w:numPr>
        <w:tabs>
          <w:tab w:val="left" w:pos="869"/>
        </w:tabs>
        <w:spacing w:line="417" w:lineRule="auto"/>
        <w:ind w:right="426" w:firstLine="420"/>
        <w:jc w:val="left"/>
        <w:rPr>
          <w:color w:val="auto"/>
          <w:szCs w:val="21"/>
          <w:highlight w:val="none"/>
        </w:rPr>
      </w:pPr>
      <w:r>
        <w:rPr>
          <w:color w:val="auto"/>
          <w:spacing w:val="-2"/>
          <w:szCs w:val="21"/>
          <w:highlight w:val="none"/>
        </w:rPr>
        <w:t>承包人在特殊风险场所作业而需要特殊防护用品或安全仪表时，必须在上述防护用品全部到位后才能开工。</w:t>
      </w:r>
    </w:p>
    <w:p w14:paraId="7C03FDBC">
      <w:pPr>
        <w:pStyle w:val="18"/>
        <w:numPr>
          <w:ilvl w:val="0"/>
          <w:numId w:val="16"/>
        </w:numPr>
        <w:tabs>
          <w:tab w:val="left" w:pos="869"/>
        </w:tabs>
        <w:spacing w:line="417" w:lineRule="auto"/>
        <w:ind w:left="552" w:right="2229" w:firstLine="0"/>
        <w:jc w:val="left"/>
        <w:rPr>
          <w:color w:val="auto"/>
          <w:szCs w:val="21"/>
          <w:highlight w:val="none"/>
        </w:rPr>
      </w:pPr>
      <w:r>
        <w:rPr>
          <w:color w:val="auto"/>
          <w:spacing w:val="-2"/>
          <w:szCs w:val="21"/>
          <w:highlight w:val="none"/>
        </w:rPr>
        <w:t>承包人应配备临时安全围栏、警示带、警告标志、防火布等集体防护用品。</w:t>
      </w:r>
    </w:p>
    <w:p w14:paraId="0705072B">
      <w:pPr>
        <w:pStyle w:val="18"/>
        <w:tabs>
          <w:tab w:val="left" w:pos="869"/>
        </w:tabs>
        <w:spacing w:line="417" w:lineRule="auto"/>
        <w:ind w:left="552" w:right="2229" w:firstLine="0"/>
        <w:jc w:val="left"/>
        <w:rPr>
          <w:color w:val="auto"/>
          <w:szCs w:val="21"/>
          <w:highlight w:val="none"/>
        </w:rPr>
      </w:pPr>
      <w:r>
        <w:rPr>
          <w:color w:val="auto"/>
          <w:szCs w:val="21"/>
          <w:highlight w:val="none"/>
        </w:rPr>
        <w:t>八、施工机具与材料承包人对带入现场的施工机械和工器具的安全负责。</w:t>
      </w:r>
    </w:p>
    <w:p w14:paraId="5A0DE0E4">
      <w:pPr>
        <w:pStyle w:val="2"/>
        <w:spacing w:before="6"/>
        <w:rPr>
          <w:color w:val="auto"/>
          <w:sz w:val="21"/>
          <w:szCs w:val="21"/>
          <w:highlight w:val="none"/>
        </w:rPr>
      </w:pPr>
    </w:p>
    <w:p w14:paraId="53B1E952">
      <w:pPr>
        <w:pStyle w:val="18"/>
        <w:numPr>
          <w:ilvl w:val="1"/>
          <w:numId w:val="16"/>
        </w:numPr>
        <w:tabs>
          <w:tab w:val="left" w:pos="1039"/>
        </w:tabs>
        <w:spacing w:before="1" w:line="417" w:lineRule="auto"/>
        <w:ind w:left="303" w:right="256" w:firstLine="420"/>
        <w:jc w:val="left"/>
        <w:rPr>
          <w:color w:val="auto"/>
          <w:szCs w:val="21"/>
          <w:highlight w:val="none"/>
        </w:rPr>
      </w:pPr>
      <w:r>
        <w:rPr>
          <w:color w:val="auto"/>
          <w:szCs w:val="21"/>
          <w:highlight w:val="none"/>
        </w:rPr>
        <w:t>对于承包人带入现场的特殊工器具，如起重设备、索具、机动车辆、压缩气瓶等，承包人必须按</w:t>
      </w:r>
      <w:r>
        <w:rPr>
          <w:color w:val="auto"/>
          <w:spacing w:val="-5"/>
          <w:szCs w:val="21"/>
          <w:highlight w:val="none"/>
        </w:rPr>
        <w:t>国家法规和标准进行检测、试验，并持有法定部门出具的检验证书。</w:t>
      </w:r>
    </w:p>
    <w:p w14:paraId="13EE6F01">
      <w:pPr>
        <w:pStyle w:val="18"/>
        <w:numPr>
          <w:ilvl w:val="1"/>
          <w:numId w:val="16"/>
        </w:numPr>
        <w:tabs>
          <w:tab w:val="left" w:pos="1039"/>
        </w:tabs>
        <w:spacing w:line="417" w:lineRule="auto"/>
        <w:ind w:left="303" w:right="253" w:firstLine="420"/>
        <w:jc w:val="left"/>
        <w:rPr>
          <w:color w:val="auto"/>
          <w:szCs w:val="21"/>
          <w:highlight w:val="none"/>
        </w:rPr>
      </w:pPr>
      <w:r>
        <w:rPr>
          <w:color w:val="auto"/>
          <w:spacing w:val="-5"/>
          <w:szCs w:val="21"/>
          <w:highlight w:val="none"/>
        </w:rPr>
        <w:t>对于不属于法定检测的工器具，承包人也必须建立相应的管理、检测制度，这些工器具包括登高</w:t>
      </w:r>
      <w:r>
        <w:rPr>
          <w:color w:val="auto"/>
          <w:spacing w:val="-4"/>
          <w:szCs w:val="21"/>
          <w:highlight w:val="none"/>
        </w:rPr>
        <w:t>工具、脚手架材料、电动工具、安全防护设备及用具等。</w:t>
      </w:r>
    </w:p>
    <w:p w14:paraId="5D496D01">
      <w:pPr>
        <w:pStyle w:val="2"/>
        <w:spacing w:line="269" w:lineRule="exact"/>
        <w:ind w:left="723"/>
        <w:rPr>
          <w:color w:val="auto"/>
          <w:sz w:val="21"/>
          <w:szCs w:val="21"/>
          <w:highlight w:val="none"/>
        </w:rPr>
      </w:pPr>
      <w:r>
        <w:rPr>
          <w:color w:val="auto"/>
          <w:sz w:val="21"/>
          <w:szCs w:val="21"/>
          <w:highlight w:val="none"/>
        </w:rPr>
        <w:t>九、开工前安全条件检查</w:t>
      </w:r>
    </w:p>
    <w:p w14:paraId="0F692595">
      <w:pPr>
        <w:pStyle w:val="2"/>
        <w:spacing w:before="6"/>
        <w:rPr>
          <w:color w:val="auto"/>
          <w:sz w:val="21"/>
          <w:szCs w:val="21"/>
          <w:highlight w:val="none"/>
        </w:rPr>
      </w:pPr>
    </w:p>
    <w:p w14:paraId="6B74C9EB">
      <w:pPr>
        <w:pStyle w:val="18"/>
        <w:numPr>
          <w:ilvl w:val="0"/>
          <w:numId w:val="17"/>
        </w:numPr>
        <w:tabs>
          <w:tab w:val="left" w:pos="1039"/>
        </w:tabs>
        <w:spacing w:line="417" w:lineRule="auto"/>
        <w:ind w:right="253" w:firstLine="420"/>
        <w:rPr>
          <w:color w:val="auto"/>
          <w:szCs w:val="21"/>
          <w:highlight w:val="none"/>
        </w:rPr>
      </w:pPr>
      <w:r>
        <w:rPr>
          <w:color w:val="auto"/>
          <w:spacing w:val="-4"/>
          <w:szCs w:val="21"/>
          <w:highlight w:val="none"/>
        </w:rPr>
        <w:t xml:space="preserve">发包人委托的监理公司将在合同生效后，工程项目正式开工 </w:t>
      </w:r>
      <w:r>
        <w:rPr>
          <w:color w:val="auto"/>
          <w:szCs w:val="21"/>
          <w:highlight w:val="none"/>
        </w:rPr>
        <w:t>5</w:t>
      </w:r>
      <w:r>
        <w:rPr>
          <w:color w:val="auto"/>
          <w:spacing w:val="-10"/>
          <w:szCs w:val="21"/>
          <w:highlight w:val="none"/>
        </w:rPr>
        <w:t xml:space="preserve"> 个工作日前，依据合同安全条款的要求逐项对承包人安全准备情况进行检查。不满足开工安全条件时，承包人将不得开工，由此产生的工期和成本的影响，由承包人自行负责。</w:t>
      </w:r>
    </w:p>
    <w:p w14:paraId="3ED50BB8">
      <w:pPr>
        <w:pStyle w:val="18"/>
        <w:numPr>
          <w:ilvl w:val="0"/>
          <w:numId w:val="17"/>
        </w:numPr>
        <w:tabs>
          <w:tab w:val="left" w:pos="1039"/>
        </w:tabs>
        <w:spacing w:line="417" w:lineRule="auto"/>
        <w:ind w:right="253" w:firstLine="420"/>
        <w:rPr>
          <w:color w:val="auto"/>
          <w:szCs w:val="21"/>
          <w:highlight w:val="none"/>
        </w:rPr>
      </w:pPr>
      <w:r>
        <w:rPr>
          <w:color w:val="auto"/>
          <w:spacing w:val="-10"/>
          <w:szCs w:val="21"/>
          <w:highlight w:val="none"/>
        </w:rPr>
        <w:t>开工前安全条件检查的基本内容包括：安全管理体系建设、安全资金投入、危险源识别和安全风</w:t>
      </w:r>
      <w:r>
        <w:rPr>
          <w:color w:val="auto"/>
          <w:spacing w:val="-4"/>
          <w:szCs w:val="21"/>
          <w:highlight w:val="none"/>
        </w:rPr>
        <w:t>险分析、施工机械的安全状况、安全工器具和材料、安全培训教材和教员、专职安全人员的到岗情况、培训的有效性、人员控制、个人劳动保护用品配备等内容。</w:t>
      </w:r>
    </w:p>
    <w:p w14:paraId="2A53E4D6">
      <w:pPr>
        <w:pStyle w:val="18"/>
        <w:numPr>
          <w:ilvl w:val="0"/>
          <w:numId w:val="17"/>
        </w:numPr>
        <w:tabs>
          <w:tab w:val="left" w:pos="1039"/>
        </w:tabs>
        <w:spacing w:line="417" w:lineRule="auto"/>
        <w:ind w:right="256" w:firstLine="420"/>
        <w:jc w:val="left"/>
        <w:rPr>
          <w:color w:val="auto"/>
          <w:szCs w:val="21"/>
          <w:highlight w:val="none"/>
        </w:rPr>
      </w:pPr>
      <w:r>
        <w:rPr>
          <w:color w:val="auto"/>
          <w:spacing w:val="-10"/>
          <w:szCs w:val="21"/>
          <w:highlight w:val="none"/>
        </w:rPr>
        <w:t>发包人委托的监理公司检查发现的缺陷，承包人应在规定期限内完成整改。对于重大缺陷，发包</w:t>
      </w:r>
      <w:r>
        <w:rPr>
          <w:color w:val="auto"/>
          <w:spacing w:val="-4"/>
          <w:szCs w:val="21"/>
          <w:highlight w:val="none"/>
        </w:rPr>
        <w:t>人委托的监理公司有权要求承包人推迟开工，由此对工期产生的影响或经济损失，由承包人承担。</w:t>
      </w:r>
    </w:p>
    <w:p w14:paraId="6E4C6294">
      <w:pPr>
        <w:pStyle w:val="2"/>
        <w:spacing w:line="269" w:lineRule="exact"/>
        <w:ind w:left="723"/>
        <w:rPr>
          <w:color w:val="auto"/>
          <w:sz w:val="21"/>
          <w:szCs w:val="21"/>
          <w:highlight w:val="none"/>
        </w:rPr>
      </w:pPr>
      <w:r>
        <w:rPr>
          <w:color w:val="auto"/>
          <w:sz w:val="21"/>
          <w:szCs w:val="21"/>
          <w:highlight w:val="none"/>
        </w:rPr>
        <w:t>十、安全监督</w:t>
      </w:r>
    </w:p>
    <w:p w14:paraId="6A9754F2">
      <w:pPr>
        <w:pStyle w:val="2"/>
        <w:spacing w:before="6"/>
        <w:rPr>
          <w:color w:val="auto"/>
          <w:sz w:val="21"/>
          <w:szCs w:val="21"/>
          <w:highlight w:val="none"/>
        </w:rPr>
      </w:pPr>
    </w:p>
    <w:p w14:paraId="70ED4F38">
      <w:pPr>
        <w:pStyle w:val="18"/>
        <w:numPr>
          <w:ilvl w:val="0"/>
          <w:numId w:val="18"/>
        </w:numPr>
        <w:tabs>
          <w:tab w:val="left" w:pos="1039"/>
        </w:tabs>
        <w:jc w:val="left"/>
        <w:rPr>
          <w:color w:val="auto"/>
          <w:szCs w:val="21"/>
          <w:highlight w:val="none"/>
        </w:rPr>
      </w:pPr>
      <w:r>
        <w:rPr>
          <w:color w:val="auto"/>
          <w:szCs w:val="21"/>
          <w:highlight w:val="none"/>
        </w:rPr>
        <w:t>承包人应配备有满足项目安全管理需要的专职安全管理人员。</w:t>
      </w:r>
    </w:p>
    <w:p w14:paraId="417749B9">
      <w:pPr>
        <w:pStyle w:val="2"/>
        <w:spacing w:before="6"/>
        <w:rPr>
          <w:color w:val="auto"/>
          <w:sz w:val="21"/>
          <w:szCs w:val="21"/>
          <w:highlight w:val="none"/>
        </w:rPr>
      </w:pPr>
    </w:p>
    <w:p w14:paraId="3D3F46DC">
      <w:pPr>
        <w:pStyle w:val="18"/>
        <w:numPr>
          <w:ilvl w:val="0"/>
          <w:numId w:val="18"/>
        </w:numPr>
        <w:tabs>
          <w:tab w:val="left" w:pos="1039"/>
        </w:tabs>
        <w:jc w:val="left"/>
        <w:rPr>
          <w:color w:val="auto"/>
          <w:szCs w:val="21"/>
          <w:highlight w:val="none"/>
        </w:rPr>
      </w:pPr>
      <w:r>
        <w:rPr>
          <w:color w:val="auto"/>
          <w:szCs w:val="21"/>
          <w:highlight w:val="none"/>
        </w:rPr>
        <w:t>承包人的专职安全管理人员必须持建设主管部门颁发的安全生产知识考核合格证书。</w:t>
      </w:r>
    </w:p>
    <w:p w14:paraId="4ADAE76A">
      <w:pPr>
        <w:pStyle w:val="2"/>
        <w:spacing w:before="7"/>
        <w:rPr>
          <w:color w:val="auto"/>
          <w:sz w:val="21"/>
          <w:szCs w:val="21"/>
          <w:highlight w:val="none"/>
        </w:rPr>
      </w:pPr>
    </w:p>
    <w:p w14:paraId="753508FF">
      <w:pPr>
        <w:pStyle w:val="18"/>
        <w:numPr>
          <w:ilvl w:val="0"/>
          <w:numId w:val="18"/>
        </w:numPr>
        <w:tabs>
          <w:tab w:val="left" w:pos="1039"/>
        </w:tabs>
        <w:spacing w:line="417" w:lineRule="auto"/>
        <w:ind w:left="303" w:right="256" w:firstLine="420"/>
        <w:jc w:val="left"/>
        <w:rPr>
          <w:color w:val="auto"/>
          <w:szCs w:val="21"/>
          <w:highlight w:val="none"/>
        </w:rPr>
      </w:pPr>
      <w:r>
        <w:rPr>
          <w:color w:val="auto"/>
          <w:szCs w:val="21"/>
          <w:highlight w:val="none"/>
        </w:rPr>
        <w:t>承包人的专职安全管理人员在业务上接受发包人委托的监理公司和发包人安全管理部门的协调和指导。</w:t>
      </w:r>
    </w:p>
    <w:p w14:paraId="7C400F12">
      <w:pPr>
        <w:pStyle w:val="18"/>
        <w:numPr>
          <w:ilvl w:val="0"/>
          <w:numId w:val="18"/>
        </w:numPr>
        <w:tabs>
          <w:tab w:val="left" w:pos="1039"/>
        </w:tabs>
        <w:spacing w:line="269" w:lineRule="exact"/>
        <w:jc w:val="left"/>
        <w:rPr>
          <w:color w:val="auto"/>
          <w:szCs w:val="21"/>
          <w:highlight w:val="none"/>
        </w:rPr>
      </w:pPr>
      <w:r>
        <w:rPr>
          <w:color w:val="auto"/>
          <w:spacing w:val="-7"/>
          <w:szCs w:val="21"/>
          <w:highlight w:val="none"/>
        </w:rPr>
        <w:t>承包人应建立班前安全交底制度；施工期间坚持开展安全检查和日常安全监督并形成相应的记录。</w:t>
      </w:r>
    </w:p>
    <w:p w14:paraId="5961148B">
      <w:pPr>
        <w:pStyle w:val="2"/>
        <w:spacing w:before="7"/>
        <w:rPr>
          <w:color w:val="auto"/>
          <w:sz w:val="21"/>
          <w:szCs w:val="21"/>
          <w:highlight w:val="none"/>
        </w:rPr>
      </w:pPr>
    </w:p>
    <w:p w14:paraId="2A056870">
      <w:pPr>
        <w:pStyle w:val="18"/>
        <w:numPr>
          <w:ilvl w:val="0"/>
          <w:numId w:val="18"/>
        </w:numPr>
        <w:tabs>
          <w:tab w:val="left" w:pos="1039"/>
        </w:tabs>
        <w:spacing w:line="417" w:lineRule="auto"/>
        <w:ind w:left="303" w:right="256" w:firstLine="420"/>
        <w:jc w:val="left"/>
        <w:rPr>
          <w:color w:val="auto"/>
          <w:szCs w:val="21"/>
          <w:highlight w:val="none"/>
        </w:rPr>
      </w:pPr>
      <w:r>
        <w:rPr>
          <w:color w:val="auto"/>
          <w:spacing w:val="-3"/>
          <w:szCs w:val="21"/>
          <w:highlight w:val="none"/>
        </w:rPr>
        <w:t>承包人应在每个作业区任命兼职安全员，赋予兼职安全员相应的授权和义务，并对兼职安全员进行定期考核。</w:t>
      </w:r>
    </w:p>
    <w:p w14:paraId="759B3986">
      <w:pPr>
        <w:pStyle w:val="18"/>
        <w:numPr>
          <w:ilvl w:val="0"/>
          <w:numId w:val="18"/>
        </w:numPr>
        <w:tabs>
          <w:tab w:val="left" w:pos="1039"/>
        </w:tabs>
        <w:spacing w:line="269" w:lineRule="exact"/>
        <w:jc w:val="left"/>
        <w:rPr>
          <w:color w:val="auto"/>
          <w:szCs w:val="21"/>
          <w:highlight w:val="none"/>
        </w:rPr>
      </w:pPr>
      <w:r>
        <w:rPr>
          <w:color w:val="auto"/>
          <w:szCs w:val="21"/>
          <w:highlight w:val="none"/>
        </w:rPr>
        <w:t>承包人应接受和配合发包人专业部门及委托的监理公司的监督与安全评价。</w:t>
      </w:r>
    </w:p>
    <w:p w14:paraId="5BE9EE79">
      <w:pPr>
        <w:pStyle w:val="2"/>
        <w:spacing w:before="7"/>
        <w:rPr>
          <w:color w:val="auto"/>
          <w:sz w:val="21"/>
          <w:szCs w:val="21"/>
          <w:highlight w:val="none"/>
        </w:rPr>
      </w:pPr>
    </w:p>
    <w:p w14:paraId="51961519">
      <w:pPr>
        <w:pStyle w:val="18"/>
        <w:numPr>
          <w:ilvl w:val="0"/>
          <w:numId w:val="18"/>
        </w:numPr>
        <w:tabs>
          <w:tab w:val="left" w:pos="1039"/>
        </w:tabs>
        <w:spacing w:line="417" w:lineRule="auto"/>
        <w:ind w:left="303" w:right="253" w:firstLine="420"/>
        <w:jc w:val="left"/>
        <w:rPr>
          <w:color w:val="auto"/>
          <w:szCs w:val="21"/>
          <w:highlight w:val="none"/>
        </w:rPr>
      </w:pPr>
      <w:r>
        <w:rPr>
          <w:color w:val="auto"/>
          <w:spacing w:val="-2"/>
          <w:szCs w:val="21"/>
          <w:highlight w:val="none"/>
        </w:rPr>
        <w:t>发包人和委托的监理公司有权对承包人履行安全管理协议的情况进行监督，并有权对违章行为实行停工和处罚，处罚情况将通知承包人。涉及经济处罚时将直接通知合同管理部门从合同结算中扣除。</w:t>
      </w:r>
    </w:p>
    <w:p w14:paraId="7D772C1D">
      <w:pPr>
        <w:pStyle w:val="2"/>
        <w:spacing w:line="269" w:lineRule="exact"/>
        <w:ind w:left="723"/>
        <w:rPr>
          <w:color w:val="auto"/>
          <w:sz w:val="21"/>
          <w:szCs w:val="21"/>
          <w:highlight w:val="none"/>
        </w:rPr>
      </w:pPr>
      <w:r>
        <w:rPr>
          <w:color w:val="auto"/>
          <w:sz w:val="21"/>
          <w:szCs w:val="21"/>
          <w:highlight w:val="none"/>
        </w:rPr>
        <w:t>十一、安全培训与授权</w:t>
      </w:r>
    </w:p>
    <w:p w14:paraId="2E9B50C3">
      <w:pPr>
        <w:pStyle w:val="18"/>
        <w:numPr>
          <w:ilvl w:val="0"/>
          <w:numId w:val="19"/>
        </w:numPr>
        <w:tabs>
          <w:tab w:val="left" w:pos="1039"/>
        </w:tabs>
        <w:spacing w:line="417" w:lineRule="auto"/>
        <w:ind w:right="253" w:firstLine="420"/>
        <w:rPr>
          <w:color w:val="auto"/>
          <w:spacing w:val="-3"/>
          <w:szCs w:val="21"/>
          <w:highlight w:val="none"/>
        </w:rPr>
      </w:pPr>
      <w:r>
        <w:rPr>
          <w:color w:val="auto"/>
          <w:spacing w:val="-3"/>
          <w:szCs w:val="21"/>
          <w:highlight w:val="none"/>
        </w:rPr>
        <w:t>承包人所有特殊工种人员必须持证上岗，发包人和发包人委托的监理公司有权对其进行抽查。承包人要建立特殊工种定期培训和检查计划，这些工种包括但不限于：机动车驾驶员、焊工、起重工、电工等。</w:t>
      </w:r>
    </w:p>
    <w:p w14:paraId="6D8B24C6">
      <w:pPr>
        <w:pStyle w:val="18"/>
        <w:numPr>
          <w:ilvl w:val="0"/>
          <w:numId w:val="19"/>
        </w:numPr>
        <w:tabs>
          <w:tab w:val="left" w:pos="1039"/>
        </w:tabs>
        <w:spacing w:line="417" w:lineRule="auto"/>
        <w:ind w:right="253" w:firstLine="420"/>
        <w:rPr>
          <w:color w:val="auto"/>
          <w:spacing w:val="-3"/>
          <w:szCs w:val="21"/>
          <w:highlight w:val="none"/>
        </w:rPr>
      </w:pPr>
      <w:r>
        <w:rPr>
          <w:color w:val="auto"/>
          <w:spacing w:val="-3"/>
          <w:szCs w:val="21"/>
          <w:highlight w:val="none"/>
        </w:rPr>
        <w:t>承包人应在特殊工种之外的其他工种中，筛选出高风险工种，并对其开展针对性的专题安全培训。</w:t>
      </w:r>
    </w:p>
    <w:p w14:paraId="3ECEB5B8">
      <w:pPr>
        <w:pStyle w:val="18"/>
        <w:numPr>
          <w:ilvl w:val="0"/>
          <w:numId w:val="19"/>
        </w:numPr>
        <w:tabs>
          <w:tab w:val="left" w:pos="1039"/>
        </w:tabs>
        <w:spacing w:line="417" w:lineRule="auto"/>
        <w:ind w:right="253" w:firstLine="420"/>
        <w:rPr>
          <w:color w:val="auto"/>
          <w:spacing w:val="-3"/>
          <w:szCs w:val="21"/>
          <w:highlight w:val="none"/>
        </w:rPr>
      </w:pPr>
      <w:r>
        <w:rPr>
          <w:color w:val="auto"/>
          <w:spacing w:val="-3"/>
          <w:szCs w:val="21"/>
          <w:highlight w:val="none"/>
        </w:rPr>
        <w:t>承包人应组织 “入场培训”和考核。发包人委托的监理公司有权监督培训、考核情况或组织抽查考核。</w:t>
      </w:r>
    </w:p>
    <w:p w14:paraId="41F754D1">
      <w:pPr>
        <w:pStyle w:val="18"/>
        <w:numPr>
          <w:ilvl w:val="0"/>
          <w:numId w:val="19"/>
        </w:numPr>
        <w:tabs>
          <w:tab w:val="left" w:pos="1039"/>
        </w:tabs>
        <w:spacing w:line="417" w:lineRule="auto"/>
        <w:ind w:right="253" w:firstLine="420"/>
        <w:rPr>
          <w:color w:val="auto"/>
          <w:spacing w:val="-3"/>
          <w:szCs w:val="21"/>
          <w:highlight w:val="none"/>
        </w:rPr>
      </w:pPr>
      <w:r>
        <w:rPr>
          <w:color w:val="auto"/>
          <w:spacing w:val="-3"/>
          <w:szCs w:val="21"/>
          <w:highlight w:val="none"/>
        </w:rPr>
        <w:t>承包人应建立安全培训和考核机制，编制培训教材和培训滚动计划。承包人应组织安全考试/考核，建立培训考核记录，发包人委托的监理公司有权查看这些记录。</w:t>
      </w:r>
    </w:p>
    <w:p w14:paraId="0717D0D0">
      <w:pPr>
        <w:pStyle w:val="2"/>
        <w:spacing w:line="269" w:lineRule="exact"/>
        <w:ind w:left="552"/>
        <w:rPr>
          <w:color w:val="auto"/>
          <w:sz w:val="21"/>
          <w:szCs w:val="21"/>
          <w:highlight w:val="none"/>
        </w:rPr>
      </w:pPr>
      <w:r>
        <w:rPr>
          <w:color w:val="auto"/>
          <w:sz w:val="21"/>
          <w:szCs w:val="21"/>
          <w:highlight w:val="none"/>
        </w:rPr>
        <w:t>十二、职业健康与卫生防疫</w:t>
      </w:r>
    </w:p>
    <w:p w14:paraId="41AD4E0A">
      <w:pPr>
        <w:pStyle w:val="2"/>
        <w:spacing w:before="6"/>
        <w:rPr>
          <w:color w:val="auto"/>
          <w:sz w:val="21"/>
          <w:szCs w:val="21"/>
          <w:highlight w:val="none"/>
        </w:rPr>
      </w:pPr>
    </w:p>
    <w:p w14:paraId="7AA85F8B">
      <w:pPr>
        <w:pStyle w:val="18"/>
        <w:numPr>
          <w:ilvl w:val="0"/>
          <w:numId w:val="20"/>
        </w:numPr>
        <w:tabs>
          <w:tab w:val="left" w:pos="869"/>
        </w:tabs>
        <w:spacing w:line="417" w:lineRule="auto"/>
        <w:ind w:right="424" w:firstLine="420"/>
        <w:jc w:val="left"/>
        <w:rPr>
          <w:color w:val="auto"/>
          <w:szCs w:val="21"/>
          <w:highlight w:val="none"/>
        </w:rPr>
      </w:pPr>
      <w:r>
        <w:rPr>
          <w:color w:val="auto"/>
          <w:spacing w:val="-3"/>
          <w:szCs w:val="21"/>
          <w:highlight w:val="none"/>
        </w:rPr>
        <w:t>承包人应有特殊健康检查制度，预防有禁忌症患者从事有关职业，如恐高症患者不得从事高空作业，患有心血管疾病的人员不得从事繁重的体力劳动，特殊工种人员的体检应符合国家的规定。</w:t>
      </w:r>
    </w:p>
    <w:p w14:paraId="7EE165BC">
      <w:pPr>
        <w:pStyle w:val="18"/>
        <w:numPr>
          <w:ilvl w:val="0"/>
          <w:numId w:val="20"/>
        </w:numPr>
        <w:tabs>
          <w:tab w:val="left" w:pos="869"/>
        </w:tabs>
        <w:spacing w:line="269" w:lineRule="exact"/>
        <w:ind w:left="868" w:hanging="317"/>
        <w:jc w:val="left"/>
        <w:rPr>
          <w:color w:val="auto"/>
          <w:szCs w:val="21"/>
          <w:highlight w:val="none"/>
        </w:rPr>
      </w:pPr>
      <w:r>
        <w:rPr>
          <w:color w:val="auto"/>
          <w:szCs w:val="21"/>
          <w:highlight w:val="none"/>
        </w:rPr>
        <w:t>承包人应保证卫生防疫基本设施的投入，以满足医疗、急救的要求，建立外部医疗支持渠道。</w:t>
      </w:r>
    </w:p>
    <w:p w14:paraId="43758DBB">
      <w:pPr>
        <w:pStyle w:val="2"/>
        <w:spacing w:before="7"/>
        <w:rPr>
          <w:color w:val="auto"/>
          <w:sz w:val="21"/>
          <w:szCs w:val="21"/>
          <w:highlight w:val="none"/>
        </w:rPr>
      </w:pPr>
    </w:p>
    <w:p w14:paraId="19FC2954">
      <w:pPr>
        <w:pStyle w:val="18"/>
        <w:numPr>
          <w:ilvl w:val="0"/>
          <w:numId w:val="20"/>
        </w:numPr>
        <w:tabs>
          <w:tab w:val="left" w:pos="869"/>
        </w:tabs>
        <w:spacing w:line="417" w:lineRule="auto"/>
        <w:ind w:right="425" w:firstLine="420"/>
        <w:rPr>
          <w:color w:val="auto"/>
          <w:szCs w:val="21"/>
          <w:highlight w:val="none"/>
        </w:rPr>
      </w:pPr>
      <w:r>
        <w:rPr>
          <w:color w:val="auto"/>
          <w:szCs w:val="21"/>
          <w:highlight w:val="none"/>
        </w:rPr>
        <w:t>应建立卫生防疫措施计划，做好生活区和施工区的卫生防疫工作；制定和执行保证饮水卫生、饮</w:t>
      </w:r>
      <w:r>
        <w:rPr>
          <w:color w:val="auto"/>
          <w:spacing w:val="-4"/>
          <w:szCs w:val="21"/>
          <w:highlight w:val="none"/>
        </w:rPr>
        <w:t>食卫生、环境卫生和预防集体食物中毒的措施；有灭蚊、灭鼠和消毒的专项工作计划；有针对性地制订</w:t>
      </w:r>
      <w:r>
        <w:rPr>
          <w:color w:val="auto"/>
          <w:spacing w:val="-20"/>
          <w:szCs w:val="21"/>
          <w:highlight w:val="none"/>
        </w:rPr>
        <w:t xml:space="preserve">预防 </w:t>
      </w:r>
      <w:r>
        <w:rPr>
          <w:color w:val="auto"/>
          <w:szCs w:val="21"/>
          <w:highlight w:val="none"/>
        </w:rPr>
        <w:t>SARS、禽流感、疟疾、霍乱、肠道传染病、肝炎、H1N1</w:t>
      </w:r>
      <w:r>
        <w:rPr>
          <w:color w:val="auto"/>
          <w:spacing w:val="-8"/>
          <w:szCs w:val="21"/>
          <w:highlight w:val="none"/>
        </w:rPr>
        <w:t xml:space="preserve"> 流感等疾病的措施。</w:t>
      </w:r>
    </w:p>
    <w:p w14:paraId="43DBD350">
      <w:pPr>
        <w:pStyle w:val="2"/>
        <w:spacing w:line="269" w:lineRule="exact"/>
        <w:ind w:left="552"/>
        <w:rPr>
          <w:color w:val="auto"/>
          <w:sz w:val="21"/>
          <w:szCs w:val="21"/>
          <w:highlight w:val="none"/>
        </w:rPr>
      </w:pPr>
      <w:r>
        <w:rPr>
          <w:color w:val="auto"/>
          <w:sz w:val="21"/>
          <w:szCs w:val="21"/>
          <w:highlight w:val="none"/>
        </w:rPr>
        <w:t>十三、文明施工与环保要求</w:t>
      </w:r>
    </w:p>
    <w:p w14:paraId="7B9D4A9D">
      <w:pPr>
        <w:pStyle w:val="2"/>
        <w:spacing w:before="7"/>
        <w:rPr>
          <w:color w:val="auto"/>
          <w:sz w:val="21"/>
          <w:szCs w:val="21"/>
          <w:highlight w:val="none"/>
        </w:rPr>
      </w:pPr>
    </w:p>
    <w:p w14:paraId="41417E75">
      <w:pPr>
        <w:pStyle w:val="18"/>
        <w:numPr>
          <w:ilvl w:val="0"/>
          <w:numId w:val="21"/>
        </w:numPr>
        <w:tabs>
          <w:tab w:val="left" w:pos="869"/>
        </w:tabs>
        <w:spacing w:line="417" w:lineRule="auto"/>
        <w:ind w:right="426" w:firstLine="420"/>
        <w:jc w:val="left"/>
        <w:rPr>
          <w:color w:val="auto"/>
          <w:szCs w:val="21"/>
          <w:highlight w:val="none"/>
        </w:rPr>
      </w:pPr>
      <w:r>
        <w:rPr>
          <w:color w:val="auto"/>
          <w:spacing w:val="-3"/>
          <w:szCs w:val="21"/>
          <w:highlight w:val="none"/>
        </w:rPr>
        <w:t>承包人需制订施工现场的文明施工措施，保持良好的施工现场秩序。施工现场的物料堆放要摆放整齐，安全标志和宣传标志要清楚醒目，废料、废物要分类收集，安全通道要畅通。</w:t>
      </w:r>
    </w:p>
    <w:p w14:paraId="16FA7AEE">
      <w:pPr>
        <w:pStyle w:val="18"/>
        <w:numPr>
          <w:ilvl w:val="0"/>
          <w:numId w:val="21"/>
        </w:numPr>
        <w:tabs>
          <w:tab w:val="left" w:pos="869"/>
        </w:tabs>
        <w:spacing w:line="269" w:lineRule="exact"/>
        <w:ind w:left="868" w:hanging="317"/>
        <w:jc w:val="left"/>
        <w:rPr>
          <w:color w:val="auto"/>
          <w:szCs w:val="21"/>
          <w:highlight w:val="none"/>
        </w:rPr>
      </w:pPr>
      <w:r>
        <w:rPr>
          <w:color w:val="auto"/>
          <w:szCs w:val="21"/>
          <w:highlight w:val="none"/>
        </w:rPr>
        <w:t>承包人作业时应避免建筑材料抛洒、飞扬、流淌；应尽可能降低噪音、震动。</w:t>
      </w:r>
    </w:p>
    <w:p w14:paraId="4F872384">
      <w:pPr>
        <w:pStyle w:val="2"/>
        <w:spacing w:before="6"/>
        <w:rPr>
          <w:color w:val="auto"/>
          <w:sz w:val="21"/>
          <w:szCs w:val="21"/>
          <w:highlight w:val="none"/>
        </w:rPr>
      </w:pPr>
    </w:p>
    <w:p w14:paraId="5C373E75">
      <w:pPr>
        <w:pStyle w:val="18"/>
        <w:numPr>
          <w:ilvl w:val="0"/>
          <w:numId w:val="21"/>
        </w:numPr>
        <w:tabs>
          <w:tab w:val="left" w:pos="869"/>
        </w:tabs>
        <w:spacing w:before="1" w:line="417" w:lineRule="auto"/>
        <w:ind w:right="424" w:firstLine="420"/>
        <w:jc w:val="left"/>
        <w:rPr>
          <w:color w:val="auto"/>
          <w:szCs w:val="21"/>
          <w:highlight w:val="none"/>
        </w:rPr>
      </w:pPr>
      <w:r>
        <w:rPr>
          <w:color w:val="auto"/>
          <w:spacing w:val="-3"/>
          <w:szCs w:val="21"/>
          <w:highlight w:val="none"/>
        </w:rPr>
        <w:t>承包人应根据实际需要，在施工现场布置临时卫生设施（洗手间、卫生间等），施工作业不破坏</w:t>
      </w:r>
      <w:r>
        <w:rPr>
          <w:color w:val="auto"/>
          <w:spacing w:val="-4"/>
          <w:szCs w:val="21"/>
          <w:highlight w:val="none"/>
        </w:rPr>
        <w:t>环境卫生，不污染现场环境。</w:t>
      </w:r>
    </w:p>
    <w:p w14:paraId="18305FB9">
      <w:pPr>
        <w:pStyle w:val="18"/>
        <w:numPr>
          <w:ilvl w:val="0"/>
          <w:numId w:val="21"/>
        </w:numPr>
        <w:tabs>
          <w:tab w:val="left" w:pos="869"/>
        </w:tabs>
        <w:spacing w:line="417" w:lineRule="auto"/>
        <w:ind w:right="426" w:firstLine="420"/>
        <w:jc w:val="left"/>
        <w:rPr>
          <w:color w:val="auto"/>
          <w:szCs w:val="21"/>
          <w:highlight w:val="none"/>
        </w:rPr>
      </w:pPr>
      <w:r>
        <w:rPr>
          <w:color w:val="auto"/>
          <w:spacing w:val="-3"/>
          <w:szCs w:val="21"/>
          <w:highlight w:val="none"/>
        </w:rPr>
        <w:t>承包人在施工中应充分重视对环境的保护，保护绿色植被，保护古树。施工如需伤害古树，必须</w:t>
      </w:r>
      <w:r>
        <w:rPr>
          <w:color w:val="auto"/>
          <w:spacing w:val="-4"/>
          <w:szCs w:val="21"/>
          <w:highlight w:val="none"/>
        </w:rPr>
        <w:t>报告发包人委托的监理公司，在未得到指令前，禁止擅自伤害古树。</w:t>
      </w:r>
    </w:p>
    <w:p w14:paraId="0F7EE579">
      <w:pPr>
        <w:pStyle w:val="18"/>
        <w:numPr>
          <w:ilvl w:val="0"/>
          <w:numId w:val="21"/>
        </w:numPr>
        <w:tabs>
          <w:tab w:val="left" w:pos="869"/>
        </w:tabs>
        <w:spacing w:line="417" w:lineRule="auto"/>
        <w:ind w:right="426" w:firstLine="420"/>
        <w:rPr>
          <w:color w:val="auto"/>
          <w:szCs w:val="21"/>
          <w:highlight w:val="none"/>
        </w:rPr>
      </w:pPr>
      <w:r>
        <w:rPr>
          <w:color w:val="auto"/>
          <w:spacing w:val="-3"/>
          <w:szCs w:val="21"/>
          <w:highlight w:val="none"/>
        </w:rPr>
        <w:t>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15807651">
      <w:pPr>
        <w:pStyle w:val="18"/>
        <w:numPr>
          <w:ilvl w:val="0"/>
          <w:numId w:val="21"/>
        </w:numPr>
        <w:tabs>
          <w:tab w:val="left" w:pos="869"/>
        </w:tabs>
        <w:spacing w:line="269" w:lineRule="exact"/>
        <w:ind w:left="868" w:hanging="317"/>
        <w:jc w:val="left"/>
        <w:rPr>
          <w:color w:val="auto"/>
          <w:szCs w:val="21"/>
          <w:highlight w:val="none"/>
        </w:rPr>
      </w:pPr>
      <w:r>
        <w:rPr>
          <w:color w:val="auto"/>
          <w:szCs w:val="21"/>
          <w:highlight w:val="none"/>
        </w:rPr>
        <w:t>承包人在施工中应禁止向环境，排放工业污水、生活污水、废油或其他有害物质。</w:t>
      </w:r>
    </w:p>
    <w:p w14:paraId="5E06A0D2">
      <w:pPr>
        <w:pStyle w:val="2"/>
        <w:spacing w:before="5"/>
        <w:rPr>
          <w:color w:val="auto"/>
          <w:sz w:val="21"/>
          <w:szCs w:val="21"/>
          <w:highlight w:val="none"/>
        </w:rPr>
      </w:pPr>
    </w:p>
    <w:p w14:paraId="1CB820B1">
      <w:pPr>
        <w:pStyle w:val="18"/>
        <w:numPr>
          <w:ilvl w:val="0"/>
          <w:numId w:val="21"/>
        </w:numPr>
        <w:tabs>
          <w:tab w:val="left" w:pos="869"/>
        </w:tabs>
        <w:spacing w:before="1" w:line="417" w:lineRule="auto"/>
        <w:ind w:right="443" w:firstLine="420"/>
        <w:rPr>
          <w:color w:val="auto"/>
          <w:szCs w:val="21"/>
          <w:highlight w:val="none"/>
        </w:rPr>
      </w:pPr>
      <w:r>
        <w:rPr>
          <w:color w:val="auto"/>
          <w:spacing w:val="-3"/>
          <w:szCs w:val="21"/>
          <w:highlight w:val="none"/>
        </w:rPr>
        <w:t>承包人在施工中应防止水土流失，应及时对裸露的地基、边坡、开挖出来的沙/土以及砂、石、水泥等建筑材料予以保护，防止风刮扬尘，雨水冲刷，流入下水道、排洪沟。如因防护不及时而造成大</w:t>
      </w:r>
      <w:r>
        <w:rPr>
          <w:color w:val="auto"/>
          <w:szCs w:val="21"/>
          <w:highlight w:val="none"/>
        </w:rPr>
        <w:t>量水土流失、淤塞道路、沟道或污染环境的，承包人应承担清淤、清扫以及相应的赔偿责任。</w:t>
      </w:r>
    </w:p>
    <w:p w14:paraId="2CAC8E83">
      <w:pPr>
        <w:pStyle w:val="2"/>
        <w:spacing w:line="269" w:lineRule="exact"/>
        <w:ind w:left="552"/>
        <w:rPr>
          <w:color w:val="auto"/>
          <w:sz w:val="21"/>
          <w:szCs w:val="21"/>
          <w:highlight w:val="none"/>
        </w:rPr>
      </w:pPr>
      <w:r>
        <w:rPr>
          <w:color w:val="auto"/>
          <w:sz w:val="21"/>
          <w:szCs w:val="21"/>
          <w:highlight w:val="none"/>
        </w:rPr>
        <w:t>十四、工程风险管理与事故预防</w:t>
      </w:r>
    </w:p>
    <w:p w14:paraId="378DFF79">
      <w:pPr>
        <w:pStyle w:val="2"/>
        <w:spacing w:before="6"/>
        <w:rPr>
          <w:color w:val="auto"/>
          <w:sz w:val="21"/>
          <w:szCs w:val="21"/>
          <w:highlight w:val="none"/>
        </w:rPr>
      </w:pPr>
    </w:p>
    <w:p w14:paraId="2F196572">
      <w:pPr>
        <w:pStyle w:val="2"/>
        <w:ind w:left="552"/>
        <w:rPr>
          <w:color w:val="auto"/>
          <w:sz w:val="21"/>
          <w:szCs w:val="21"/>
          <w:highlight w:val="none"/>
        </w:rPr>
      </w:pPr>
      <w:r>
        <w:rPr>
          <w:color w:val="auto"/>
          <w:sz w:val="21"/>
          <w:szCs w:val="21"/>
          <w:highlight w:val="none"/>
        </w:rPr>
        <w:t>（一）基本要求</w:t>
      </w:r>
    </w:p>
    <w:p w14:paraId="23BFF6D7">
      <w:pPr>
        <w:pStyle w:val="2"/>
        <w:spacing w:before="7"/>
        <w:rPr>
          <w:color w:val="auto"/>
          <w:sz w:val="21"/>
          <w:szCs w:val="21"/>
          <w:highlight w:val="none"/>
        </w:rPr>
      </w:pPr>
    </w:p>
    <w:p w14:paraId="02BBF95F">
      <w:pPr>
        <w:pStyle w:val="18"/>
        <w:numPr>
          <w:ilvl w:val="0"/>
          <w:numId w:val="22"/>
        </w:numPr>
        <w:tabs>
          <w:tab w:val="left" w:pos="869"/>
        </w:tabs>
        <w:spacing w:line="417" w:lineRule="auto"/>
        <w:ind w:right="426" w:firstLine="420"/>
        <w:jc w:val="left"/>
        <w:rPr>
          <w:color w:val="auto"/>
          <w:szCs w:val="21"/>
          <w:highlight w:val="none"/>
        </w:rPr>
      </w:pPr>
      <w:r>
        <w:rPr>
          <w:color w:val="auto"/>
          <w:spacing w:val="-3"/>
          <w:szCs w:val="21"/>
          <w:highlight w:val="none"/>
        </w:rPr>
        <w:t>承包人应对施工过程进行全面、深入的危险源识别和风险分析。在施工安全组织设计中提供危险源及重要危险源清单、作业风险分析报告，该报告应包括（但不限于）如下信息：</w:t>
      </w:r>
    </w:p>
    <w:p w14:paraId="01E76551">
      <w:pPr>
        <w:pStyle w:val="18"/>
        <w:numPr>
          <w:ilvl w:val="1"/>
          <w:numId w:val="22"/>
        </w:numPr>
        <w:tabs>
          <w:tab w:val="left" w:pos="1250"/>
        </w:tabs>
        <w:spacing w:before="142"/>
        <w:jc w:val="left"/>
        <w:rPr>
          <w:color w:val="auto"/>
          <w:szCs w:val="21"/>
          <w:highlight w:val="none"/>
        </w:rPr>
      </w:pPr>
      <w:r>
        <w:rPr>
          <w:color w:val="auto"/>
          <w:szCs w:val="21"/>
          <w:highlight w:val="none"/>
        </w:rPr>
        <w:t>高风险作业和工种清单：作业名称、类别和数量、主要事故风险。</w:t>
      </w:r>
    </w:p>
    <w:p w14:paraId="2972CF9D">
      <w:pPr>
        <w:pStyle w:val="2"/>
        <w:spacing w:before="6"/>
        <w:rPr>
          <w:color w:val="auto"/>
          <w:sz w:val="21"/>
          <w:szCs w:val="21"/>
          <w:highlight w:val="none"/>
        </w:rPr>
      </w:pPr>
    </w:p>
    <w:p w14:paraId="45E79E55">
      <w:pPr>
        <w:pStyle w:val="18"/>
        <w:numPr>
          <w:ilvl w:val="1"/>
          <w:numId w:val="22"/>
        </w:numPr>
        <w:tabs>
          <w:tab w:val="left" w:pos="1250"/>
        </w:tabs>
        <w:spacing w:before="1"/>
        <w:jc w:val="left"/>
        <w:rPr>
          <w:color w:val="auto"/>
          <w:szCs w:val="21"/>
          <w:highlight w:val="none"/>
        </w:rPr>
      </w:pPr>
      <w:r>
        <w:rPr>
          <w:color w:val="auto"/>
          <w:szCs w:val="21"/>
          <w:highlight w:val="none"/>
        </w:rPr>
        <w:t>施工能源和机械的种类、数量和主要事故风险。</w:t>
      </w:r>
    </w:p>
    <w:p w14:paraId="69626E3C">
      <w:pPr>
        <w:pStyle w:val="2"/>
        <w:spacing w:before="6"/>
        <w:rPr>
          <w:color w:val="auto"/>
          <w:sz w:val="21"/>
          <w:szCs w:val="21"/>
          <w:highlight w:val="none"/>
        </w:rPr>
      </w:pPr>
    </w:p>
    <w:p w14:paraId="46934E9C">
      <w:pPr>
        <w:pStyle w:val="18"/>
        <w:numPr>
          <w:ilvl w:val="1"/>
          <w:numId w:val="22"/>
        </w:numPr>
        <w:tabs>
          <w:tab w:val="left" w:pos="1250"/>
        </w:tabs>
        <w:jc w:val="left"/>
        <w:rPr>
          <w:color w:val="auto"/>
          <w:szCs w:val="21"/>
          <w:highlight w:val="none"/>
        </w:rPr>
      </w:pPr>
      <w:r>
        <w:rPr>
          <w:color w:val="auto"/>
          <w:szCs w:val="21"/>
          <w:highlight w:val="none"/>
        </w:rPr>
        <w:t>施工作业条件的类型和主要事故风险。</w:t>
      </w:r>
    </w:p>
    <w:p w14:paraId="6B709C4B">
      <w:pPr>
        <w:pStyle w:val="2"/>
        <w:spacing w:before="7"/>
        <w:rPr>
          <w:color w:val="auto"/>
          <w:sz w:val="21"/>
          <w:szCs w:val="21"/>
          <w:highlight w:val="none"/>
        </w:rPr>
      </w:pPr>
    </w:p>
    <w:p w14:paraId="51D1C9B2">
      <w:pPr>
        <w:pStyle w:val="18"/>
        <w:numPr>
          <w:ilvl w:val="1"/>
          <w:numId w:val="22"/>
        </w:numPr>
        <w:tabs>
          <w:tab w:val="left" w:pos="1250"/>
        </w:tabs>
        <w:jc w:val="left"/>
        <w:rPr>
          <w:color w:val="auto"/>
          <w:szCs w:val="21"/>
          <w:highlight w:val="none"/>
        </w:rPr>
      </w:pPr>
      <w:r>
        <w:rPr>
          <w:color w:val="auto"/>
          <w:szCs w:val="21"/>
          <w:highlight w:val="none"/>
        </w:rPr>
        <w:t>主要工艺过程（或施工活动）的类别及其相关的事故风险。</w:t>
      </w:r>
    </w:p>
    <w:p w14:paraId="055CEC5F">
      <w:pPr>
        <w:pStyle w:val="2"/>
        <w:spacing w:before="7"/>
        <w:rPr>
          <w:color w:val="auto"/>
          <w:sz w:val="21"/>
          <w:szCs w:val="21"/>
          <w:highlight w:val="none"/>
        </w:rPr>
      </w:pPr>
    </w:p>
    <w:p w14:paraId="30BC824E">
      <w:pPr>
        <w:pStyle w:val="18"/>
        <w:numPr>
          <w:ilvl w:val="1"/>
          <w:numId w:val="22"/>
        </w:numPr>
        <w:tabs>
          <w:tab w:val="left" w:pos="1250"/>
        </w:tabs>
        <w:jc w:val="left"/>
        <w:rPr>
          <w:color w:val="auto"/>
          <w:szCs w:val="21"/>
          <w:highlight w:val="none"/>
        </w:rPr>
      </w:pPr>
      <w:r>
        <w:rPr>
          <w:color w:val="auto"/>
          <w:szCs w:val="21"/>
          <w:highlight w:val="none"/>
        </w:rPr>
        <w:t>主要火灾危险（可燃物、点火源）。</w:t>
      </w:r>
    </w:p>
    <w:p w14:paraId="3CBEF7BD">
      <w:pPr>
        <w:pStyle w:val="2"/>
        <w:spacing w:before="6"/>
        <w:rPr>
          <w:color w:val="auto"/>
          <w:sz w:val="21"/>
          <w:szCs w:val="21"/>
          <w:highlight w:val="none"/>
        </w:rPr>
      </w:pPr>
    </w:p>
    <w:p w14:paraId="47761425">
      <w:pPr>
        <w:pStyle w:val="18"/>
        <w:numPr>
          <w:ilvl w:val="1"/>
          <w:numId w:val="22"/>
        </w:numPr>
        <w:tabs>
          <w:tab w:val="left" w:pos="1250"/>
        </w:tabs>
        <w:spacing w:before="1"/>
        <w:jc w:val="left"/>
        <w:rPr>
          <w:color w:val="auto"/>
          <w:szCs w:val="21"/>
          <w:highlight w:val="none"/>
        </w:rPr>
      </w:pPr>
      <w:r>
        <w:rPr>
          <w:color w:val="auto"/>
          <w:szCs w:val="21"/>
          <w:highlight w:val="none"/>
        </w:rPr>
        <w:t>主要自然灾害（洪水、大风、雷暴、暴雨、地质灾害等）。</w:t>
      </w:r>
    </w:p>
    <w:p w14:paraId="77BE2C58">
      <w:pPr>
        <w:pStyle w:val="2"/>
        <w:spacing w:before="6"/>
        <w:rPr>
          <w:color w:val="auto"/>
          <w:sz w:val="21"/>
          <w:szCs w:val="21"/>
          <w:highlight w:val="none"/>
        </w:rPr>
      </w:pPr>
    </w:p>
    <w:p w14:paraId="66F9C668">
      <w:pPr>
        <w:pStyle w:val="18"/>
        <w:numPr>
          <w:ilvl w:val="1"/>
          <w:numId w:val="22"/>
        </w:numPr>
        <w:tabs>
          <w:tab w:val="left" w:pos="1250"/>
        </w:tabs>
        <w:jc w:val="left"/>
        <w:rPr>
          <w:color w:val="auto"/>
          <w:szCs w:val="21"/>
          <w:highlight w:val="none"/>
        </w:rPr>
      </w:pPr>
      <w:r>
        <w:rPr>
          <w:color w:val="auto"/>
          <w:szCs w:val="21"/>
          <w:highlight w:val="none"/>
        </w:rPr>
        <w:t>主要环境保护事件（有害垃圾、机械的跑冒滴漏、原材料流失、水土流失等）。</w:t>
      </w:r>
    </w:p>
    <w:p w14:paraId="25BF992D">
      <w:pPr>
        <w:pStyle w:val="2"/>
        <w:spacing w:before="7"/>
        <w:rPr>
          <w:color w:val="auto"/>
          <w:sz w:val="21"/>
          <w:szCs w:val="21"/>
          <w:highlight w:val="none"/>
        </w:rPr>
      </w:pPr>
    </w:p>
    <w:p w14:paraId="39EE3648">
      <w:pPr>
        <w:pStyle w:val="18"/>
        <w:numPr>
          <w:ilvl w:val="1"/>
          <w:numId w:val="22"/>
        </w:numPr>
        <w:tabs>
          <w:tab w:val="left" w:pos="1250"/>
        </w:tabs>
        <w:jc w:val="left"/>
        <w:rPr>
          <w:color w:val="auto"/>
          <w:szCs w:val="21"/>
          <w:highlight w:val="none"/>
        </w:rPr>
      </w:pPr>
      <w:r>
        <w:rPr>
          <w:color w:val="auto"/>
          <w:szCs w:val="21"/>
          <w:highlight w:val="none"/>
        </w:rPr>
        <w:t>其他。</w:t>
      </w:r>
    </w:p>
    <w:p w14:paraId="0B8F8D1D">
      <w:pPr>
        <w:pStyle w:val="2"/>
        <w:spacing w:before="7"/>
        <w:rPr>
          <w:color w:val="auto"/>
          <w:sz w:val="21"/>
          <w:szCs w:val="21"/>
          <w:highlight w:val="none"/>
        </w:rPr>
      </w:pPr>
    </w:p>
    <w:p w14:paraId="2B3F8D7E">
      <w:pPr>
        <w:pStyle w:val="18"/>
        <w:numPr>
          <w:ilvl w:val="0"/>
          <w:numId w:val="22"/>
        </w:numPr>
        <w:tabs>
          <w:tab w:val="left" w:pos="1039"/>
        </w:tabs>
        <w:ind w:left="1038"/>
        <w:jc w:val="left"/>
        <w:rPr>
          <w:color w:val="auto"/>
          <w:szCs w:val="21"/>
          <w:highlight w:val="none"/>
        </w:rPr>
      </w:pPr>
      <w:r>
        <w:rPr>
          <w:color w:val="auto"/>
          <w:szCs w:val="21"/>
          <w:highlight w:val="none"/>
        </w:rPr>
        <w:t>承包人应针对识别出的危险源制定有针对性的事故预防措施并确保在施工中得到有效落实。</w:t>
      </w:r>
    </w:p>
    <w:p w14:paraId="4D790965">
      <w:pPr>
        <w:pStyle w:val="2"/>
        <w:spacing w:before="6"/>
        <w:rPr>
          <w:color w:val="auto"/>
          <w:sz w:val="21"/>
          <w:szCs w:val="21"/>
          <w:highlight w:val="none"/>
        </w:rPr>
      </w:pPr>
    </w:p>
    <w:p w14:paraId="53BE75D4">
      <w:pPr>
        <w:pStyle w:val="18"/>
        <w:numPr>
          <w:ilvl w:val="0"/>
          <w:numId w:val="22"/>
        </w:numPr>
        <w:tabs>
          <w:tab w:val="left" w:pos="1039"/>
        </w:tabs>
        <w:spacing w:before="1" w:line="417" w:lineRule="auto"/>
        <w:ind w:left="303" w:right="253" w:firstLine="420"/>
        <w:jc w:val="left"/>
        <w:rPr>
          <w:color w:val="auto"/>
          <w:szCs w:val="21"/>
          <w:highlight w:val="none"/>
        </w:rPr>
      </w:pPr>
      <w:r>
        <w:rPr>
          <w:color w:val="auto"/>
          <w:spacing w:val="-2"/>
          <w:szCs w:val="21"/>
          <w:highlight w:val="none"/>
        </w:rPr>
        <w:t>承包人应建立日常施工活动的动态作业风险分析和安全交底制度。该制度应明确规定风险分析的方法、责任和交底的内容、时间及记录。</w:t>
      </w:r>
    </w:p>
    <w:p w14:paraId="61130F4C">
      <w:pPr>
        <w:pStyle w:val="2"/>
        <w:spacing w:line="269" w:lineRule="exact"/>
        <w:ind w:left="723"/>
        <w:rPr>
          <w:color w:val="auto"/>
          <w:sz w:val="21"/>
          <w:szCs w:val="21"/>
          <w:highlight w:val="none"/>
        </w:rPr>
      </w:pPr>
      <w:r>
        <w:rPr>
          <w:color w:val="auto"/>
          <w:sz w:val="21"/>
          <w:szCs w:val="21"/>
          <w:highlight w:val="none"/>
        </w:rPr>
        <w:t>（二）现场作业基本安全条件</w:t>
      </w:r>
    </w:p>
    <w:p w14:paraId="7035BF9A">
      <w:pPr>
        <w:pStyle w:val="2"/>
        <w:spacing w:before="6"/>
        <w:rPr>
          <w:color w:val="auto"/>
          <w:sz w:val="21"/>
          <w:szCs w:val="21"/>
          <w:highlight w:val="none"/>
        </w:rPr>
      </w:pPr>
    </w:p>
    <w:p w14:paraId="69D163FC">
      <w:pPr>
        <w:pStyle w:val="2"/>
        <w:spacing w:line="417" w:lineRule="auto"/>
        <w:ind w:left="303" w:right="273" w:firstLine="420"/>
        <w:rPr>
          <w:color w:val="auto"/>
          <w:sz w:val="21"/>
          <w:szCs w:val="21"/>
          <w:highlight w:val="none"/>
        </w:rPr>
      </w:pPr>
      <w:r>
        <w:rPr>
          <w:rFonts w:ascii="宋体" w:hAnsi="宋体" w:cs="宋体"/>
          <w:color w:val="auto"/>
          <w:spacing w:val="-3"/>
          <w:sz w:val="21"/>
          <w:szCs w:val="21"/>
          <w:highlight w:val="none"/>
          <w:lang w:val="zh-CN" w:bidi="zh-CN"/>
        </w:rPr>
        <w:t>承包人应规定现场作业的基本安全条件，包括照明条件、通风条件、作业平台和通道条件、物料堆放条件、供电供水条件、吸烟点、休息点等，并对临边现场、道路上作业现场、立体交叉作业现场、地</w:t>
      </w:r>
      <w:r>
        <w:rPr>
          <w:color w:val="auto"/>
          <w:sz w:val="21"/>
          <w:szCs w:val="21"/>
          <w:highlight w:val="none"/>
        </w:rPr>
        <w:t>面坑洞和沟道、夜间作业现场等的基本安全条件做出规定。</w:t>
      </w:r>
    </w:p>
    <w:p w14:paraId="209A1C47">
      <w:pPr>
        <w:pStyle w:val="2"/>
        <w:spacing w:line="269" w:lineRule="exact"/>
        <w:ind w:left="723"/>
        <w:rPr>
          <w:color w:val="auto"/>
          <w:sz w:val="21"/>
          <w:szCs w:val="21"/>
          <w:highlight w:val="none"/>
        </w:rPr>
      </w:pPr>
      <w:r>
        <w:rPr>
          <w:color w:val="auto"/>
          <w:sz w:val="21"/>
          <w:szCs w:val="21"/>
          <w:highlight w:val="none"/>
        </w:rPr>
        <w:t>十五、事故报告与应急救援</w:t>
      </w:r>
    </w:p>
    <w:p w14:paraId="39FE9404">
      <w:pPr>
        <w:pStyle w:val="2"/>
        <w:spacing w:before="7"/>
        <w:rPr>
          <w:color w:val="auto"/>
          <w:sz w:val="21"/>
          <w:szCs w:val="21"/>
          <w:highlight w:val="none"/>
        </w:rPr>
      </w:pPr>
    </w:p>
    <w:p w14:paraId="00647C62">
      <w:pPr>
        <w:pStyle w:val="18"/>
        <w:numPr>
          <w:ilvl w:val="0"/>
          <w:numId w:val="23"/>
        </w:numPr>
        <w:tabs>
          <w:tab w:val="left" w:pos="1039"/>
        </w:tabs>
        <w:spacing w:line="417" w:lineRule="auto"/>
        <w:ind w:right="256" w:firstLine="420"/>
        <w:jc w:val="left"/>
        <w:rPr>
          <w:color w:val="auto"/>
          <w:szCs w:val="21"/>
          <w:highlight w:val="none"/>
        </w:rPr>
      </w:pPr>
      <w:r>
        <w:rPr>
          <w:color w:val="auto"/>
          <w:szCs w:val="21"/>
          <w:highlight w:val="none"/>
        </w:rPr>
        <w:t>承包人应制定对于未遂事故及以上级别的安全事件和事故，定期报送安全月度快报、季报、年报</w:t>
      </w:r>
      <w:r>
        <w:rPr>
          <w:color w:val="auto"/>
          <w:spacing w:val="-3"/>
          <w:szCs w:val="21"/>
          <w:highlight w:val="none"/>
        </w:rPr>
        <w:t>和各种专项事故报告等。</w:t>
      </w:r>
    </w:p>
    <w:p w14:paraId="51234C53">
      <w:pPr>
        <w:pStyle w:val="18"/>
        <w:numPr>
          <w:ilvl w:val="0"/>
          <w:numId w:val="23"/>
        </w:numPr>
        <w:tabs>
          <w:tab w:val="left" w:pos="1039"/>
        </w:tabs>
        <w:spacing w:line="417" w:lineRule="auto"/>
        <w:ind w:right="149" w:firstLine="420"/>
        <w:jc w:val="left"/>
        <w:rPr>
          <w:color w:val="auto"/>
          <w:szCs w:val="21"/>
          <w:highlight w:val="none"/>
        </w:rPr>
      </w:pPr>
      <w:r>
        <w:rPr>
          <w:color w:val="auto"/>
          <w:spacing w:val="-8"/>
          <w:szCs w:val="21"/>
          <w:highlight w:val="none"/>
        </w:rPr>
        <w:t>承包人应建立安全事故统计记录、未遂事故统计记录、违章统计记录，并根据统计情况进行分析，并就分析结果制定相应的预防措施。</w:t>
      </w:r>
    </w:p>
    <w:p w14:paraId="101AFF05">
      <w:pPr>
        <w:pStyle w:val="18"/>
        <w:numPr>
          <w:ilvl w:val="0"/>
          <w:numId w:val="23"/>
        </w:numPr>
        <w:tabs>
          <w:tab w:val="left" w:pos="1039"/>
        </w:tabs>
        <w:spacing w:line="417" w:lineRule="auto"/>
        <w:ind w:right="149" w:firstLine="420"/>
        <w:jc w:val="left"/>
        <w:rPr>
          <w:color w:val="auto"/>
          <w:szCs w:val="21"/>
          <w:highlight w:val="none"/>
        </w:rPr>
      </w:pPr>
      <w:r>
        <w:rPr>
          <w:color w:val="auto"/>
          <w:spacing w:val="-8"/>
          <w:szCs w:val="21"/>
          <w:highlight w:val="none"/>
        </w:rPr>
        <w:t>承包人应建立事故应急救援机制，明确事故处置的基本原则，即现场发生事故时，首先抢救生命，向救援组织报警，并采取措施限制事故扩大。</w:t>
      </w:r>
    </w:p>
    <w:p w14:paraId="207FD618">
      <w:pPr>
        <w:pStyle w:val="18"/>
        <w:numPr>
          <w:ilvl w:val="0"/>
          <w:numId w:val="23"/>
        </w:numPr>
        <w:tabs>
          <w:tab w:val="left" w:pos="1039"/>
        </w:tabs>
        <w:spacing w:line="269" w:lineRule="exact"/>
        <w:ind w:left="1038"/>
        <w:jc w:val="left"/>
        <w:rPr>
          <w:color w:val="auto"/>
          <w:szCs w:val="21"/>
          <w:highlight w:val="none"/>
        </w:rPr>
      </w:pPr>
      <w:r>
        <w:rPr>
          <w:color w:val="auto"/>
          <w:szCs w:val="21"/>
          <w:highlight w:val="none"/>
        </w:rPr>
        <w:t>承包人应建立相应的应急响应组织，以便能迅速处理突发意外。</w:t>
      </w:r>
    </w:p>
    <w:p w14:paraId="1EC70F4C">
      <w:pPr>
        <w:pStyle w:val="2"/>
        <w:spacing w:before="6"/>
        <w:rPr>
          <w:color w:val="auto"/>
          <w:sz w:val="21"/>
          <w:szCs w:val="21"/>
          <w:highlight w:val="none"/>
        </w:rPr>
      </w:pPr>
    </w:p>
    <w:p w14:paraId="6E90D209">
      <w:pPr>
        <w:pStyle w:val="18"/>
        <w:numPr>
          <w:ilvl w:val="0"/>
          <w:numId w:val="23"/>
        </w:numPr>
        <w:tabs>
          <w:tab w:val="left" w:pos="1039"/>
        </w:tabs>
        <w:spacing w:line="417" w:lineRule="auto"/>
        <w:ind w:right="167" w:firstLine="420"/>
        <w:jc w:val="left"/>
        <w:rPr>
          <w:color w:val="auto"/>
          <w:szCs w:val="21"/>
          <w:highlight w:val="none"/>
        </w:rPr>
      </w:pPr>
      <w:r>
        <w:rPr>
          <w:color w:val="auto"/>
          <w:szCs w:val="21"/>
          <w:highlight w:val="none"/>
        </w:rPr>
        <w:t>承包人应建立专项应急响应预案，包括重大人身伤亡事故的救护预案、火灾响应预案、“四防”预案（防风、防冻、防雷、防暴雨）、重大疫病防护预案、环境污染防护预案、地质灾害防护预案等。</w:t>
      </w:r>
    </w:p>
    <w:p w14:paraId="44430B49">
      <w:pPr>
        <w:pStyle w:val="18"/>
        <w:numPr>
          <w:ilvl w:val="0"/>
          <w:numId w:val="23"/>
        </w:numPr>
        <w:tabs>
          <w:tab w:val="left" w:pos="1039"/>
        </w:tabs>
        <w:spacing w:line="269" w:lineRule="exact"/>
        <w:ind w:left="1038"/>
        <w:jc w:val="left"/>
        <w:rPr>
          <w:color w:val="auto"/>
          <w:szCs w:val="21"/>
          <w:highlight w:val="none"/>
        </w:rPr>
      </w:pPr>
      <w:r>
        <w:rPr>
          <w:color w:val="auto"/>
          <w:szCs w:val="21"/>
          <w:highlight w:val="none"/>
        </w:rPr>
        <w:t>承包人应对应急预案进行适当演练，保证应急预案的可操作性。</w:t>
      </w:r>
    </w:p>
    <w:p w14:paraId="0272C895">
      <w:pPr>
        <w:pStyle w:val="2"/>
        <w:spacing w:before="7"/>
        <w:rPr>
          <w:color w:val="auto"/>
          <w:sz w:val="21"/>
          <w:szCs w:val="21"/>
          <w:highlight w:val="none"/>
        </w:rPr>
      </w:pPr>
    </w:p>
    <w:p w14:paraId="00319D2A">
      <w:pPr>
        <w:pStyle w:val="18"/>
        <w:numPr>
          <w:ilvl w:val="0"/>
          <w:numId w:val="23"/>
        </w:numPr>
        <w:tabs>
          <w:tab w:val="left" w:pos="1039"/>
        </w:tabs>
        <w:ind w:left="1038"/>
        <w:jc w:val="left"/>
        <w:rPr>
          <w:color w:val="auto"/>
          <w:szCs w:val="21"/>
          <w:highlight w:val="none"/>
        </w:rPr>
      </w:pPr>
      <w:r>
        <w:rPr>
          <w:color w:val="auto"/>
          <w:szCs w:val="21"/>
          <w:highlight w:val="none"/>
        </w:rPr>
        <w:t>在工地的其他施工单位发生重大事故时，承包人应无条件立即配合、支持事故抢险。</w:t>
      </w:r>
    </w:p>
    <w:p w14:paraId="47D1B1C3">
      <w:pPr>
        <w:pStyle w:val="2"/>
        <w:spacing w:before="6"/>
        <w:rPr>
          <w:color w:val="auto"/>
          <w:sz w:val="21"/>
          <w:szCs w:val="21"/>
          <w:highlight w:val="none"/>
        </w:rPr>
      </w:pPr>
    </w:p>
    <w:p w14:paraId="15DB0562">
      <w:pPr>
        <w:pStyle w:val="18"/>
        <w:numPr>
          <w:ilvl w:val="0"/>
          <w:numId w:val="23"/>
        </w:numPr>
        <w:tabs>
          <w:tab w:val="left" w:pos="1039"/>
        </w:tabs>
        <w:spacing w:before="1" w:line="417" w:lineRule="auto"/>
        <w:ind w:right="256" w:firstLine="420"/>
        <w:jc w:val="left"/>
        <w:rPr>
          <w:color w:val="auto"/>
          <w:szCs w:val="21"/>
          <w:highlight w:val="none"/>
        </w:rPr>
      </w:pPr>
      <w:r>
        <w:rPr>
          <w:color w:val="auto"/>
          <w:szCs w:val="21"/>
          <w:highlight w:val="none"/>
        </w:rPr>
        <w:t>承包人必须为事故处置支付各项费用，包括受伤者的抚恤、补偿等费用，并按合同要求赔偿对发</w:t>
      </w:r>
      <w:r>
        <w:rPr>
          <w:color w:val="auto"/>
          <w:spacing w:val="-4"/>
          <w:szCs w:val="21"/>
          <w:highlight w:val="none"/>
        </w:rPr>
        <w:t>包人造成的损失。</w:t>
      </w:r>
    </w:p>
    <w:p w14:paraId="63207AA3">
      <w:pPr>
        <w:pStyle w:val="18"/>
        <w:numPr>
          <w:ilvl w:val="0"/>
          <w:numId w:val="23"/>
        </w:numPr>
        <w:tabs>
          <w:tab w:val="left" w:pos="1039"/>
        </w:tabs>
        <w:spacing w:line="269" w:lineRule="exact"/>
        <w:ind w:left="1038"/>
        <w:jc w:val="left"/>
        <w:rPr>
          <w:color w:val="auto"/>
          <w:szCs w:val="21"/>
          <w:highlight w:val="none"/>
        </w:rPr>
      </w:pPr>
      <w:r>
        <w:rPr>
          <w:color w:val="auto"/>
          <w:szCs w:val="21"/>
          <w:highlight w:val="none"/>
        </w:rPr>
        <w:t>由于发包人原因而造成的事故，发包人应负责按事故的具体损失情况给予承包人经济赔偿。</w:t>
      </w:r>
    </w:p>
    <w:p w14:paraId="437CAE29">
      <w:pPr>
        <w:pStyle w:val="18"/>
        <w:numPr>
          <w:ilvl w:val="0"/>
          <w:numId w:val="23"/>
        </w:numPr>
        <w:tabs>
          <w:tab w:val="left" w:pos="974"/>
        </w:tabs>
        <w:spacing w:before="142" w:line="417" w:lineRule="auto"/>
        <w:ind w:left="132" w:right="443" w:firstLine="420"/>
        <w:jc w:val="left"/>
        <w:rPr>
          <w:color w:val="auto"/>
          <w:szCs w:val="21"/>
          <w:highlight w:val="none"/>
        </w:rPr>
      </w:pPr>
      <w:r>
        <w:rPr>
          <w:color w:val="auto"/>
          <w:szCs w:val="21"/>
          <w:highlight w:val="none"/>
        </w:rPr>
        <w:t>涉及承包人员工的伤害事故，承包人除要报告发包人委托的监理公司外，还应负责按照国家、行业和本单位上级公司的要求，上报事故。</w:t>
      </w:r>
    </w:p>
    <w:p w14:paraId="1224BFCC">
      <w:pPr>
        <w:pStyle w:val="2"/>
        <w:spacing w:line="269" w:lineRule="exact"/>
        <w:ind w:left="552"/>
        <w:rPr>
          <w:color w:val="auto"/>
          <w:sz w:val="21"/>
          <w:szCs w:val="21"/>
          <w:highlight w:val="none"/>
        </w:rPr>
      </w:pPr>
      <w:r>
        <w:rPr>
          <w:color w:val="auto"/>
          <w:sz w:val="21"/>
          <w:szCs w:val="21"/>
          <w:highlight w:val="none"/>
        </w:rPr>
        <w:t>十六、安全业绩考核</w:t>
      </w:r>
    </w:p>
    <w:p w14:paraId="16CAD689">
      <w:pPr>
        <w:pStyle w:val="2"/>
        <w:spacing w:before="6"/>
        <w:rPr>
          <w:color w:val="auto"/>
          <w:sz w:val="21"/>
          <w:szCs w:val="21"/>
          <w:highlight w:val="none"/>
        </w:rPr>
      </w:pPr>
    </w:p>
    <w:p w14:paraId="69F67222">
      <w:pPr>
        <w:pStyle w:val="2"/>
        <w:spacing w:before="1" w:line="417" w:lineRule="auto"/>
        <w:ind w:left="132" w:right="443" w:firstLine="420"/>
        <w:rPr>
          <w:color w:val="auto"/>
          <w:sz w:val="21"/>
          <w:szCs w:val="21"/>
          <w:highlight w:val="none"/>
        </w:rPr>
      </w:pPr>
      <w:r>
        <w:rPr>
          <w:rFonts w:ascii="宋体" w:hAnsi="宋体" w:cs="宋体"/>
          <w:color w:val="auto"/>
          <w:sz w:val="21"/>
          <w:szCs w:val="21"/>
          <w:highlight w:val="none"/>
          <w:lang w:val="zh-CN" w:bidi="zh-CN"/>
        </w:rPr>
        <mc:AlternateContent>
          <mc:Choice Requires="wps">
            <w:drawing>
              <wp:anchor distT="0" distB="0" distL="114300" distR="114300" simplePos="0" relativeHeight="251659264" behindDoc="0" locked="0" layoutInCell="1" allowOverlap="1">
                <wp:simplePos x="0" y="0"/>
                <wp:positionH relativeFrom="page">
                  <wp:posOffset>1495425</wp:posOffset>
                </wp:positionH>
                <wp:positionV relativeFrom="paragraph">
                  <wp:posOffset>531495</wp:posOffset>
                </wp:positionV>
                <wp:extent cx="4466590" cy="12947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466590" cy="1294765"/>
                        </a:xfrm>
                        <a:prstGeom prst="rect">
                          <a:avLst/>
                        </a:prstGeom>
                        <a:noFill/>
                        <a:ln>
                          <a:noFill/>
                        </a:ln>
                      </wps:spPr>
                      <wps:txbx>
                        <w:txbxContent>
                          <w:p w14:paraId="04043849">
                            <w:pPr>
                              <w:pStyle w:val="2"/>
                            </w:pPr>
                          </w:p>
                        </w:txbxContent>
                      </wps:txbx>
                      <wps:bodyPr lIns="0" tIns="0" rIns="0" bIns="0" upright="1"/>
                    </wps:wsp>
                  </a:graphicData>
                </a:graphic>
              </wp:anchor>
            </w:drawing>
          </mc:Choice>
          <mc:Fallback>
            <w:pict>
              <v:shape id="_x0000_s1026" o:spid="_x0000_s1026" o:spt="202" type="#_x0000_t202" style="position:absolute;left:0pt;margin-left:117.75pt;margin-top:41.85pt;height:101.95pt;width:351.7pt;mso-position-horizontal-relative:page;z-index:251659264;mso-width-relative:page;mso-height-relative:page;" filled="f" stroked="f" coordsize="21600,21600" o:gfxdata="UEsDBAoAAAAAAIdO4kAAAAAAAAAAAAAAAAAEAAAAZHJzL1BLAwQUAAAACACHTuJAwj93htoAAAAK&#10;AQAADwAAAGRycy9kb3ducmV2LnhtbE2Py07DMBBF90j8gzVI7KjdRk2TEKdCCFZIiDQsWDqxm1iN&#10;xyF2H/w9w6osR/fo3jPl9uJGdjJzsB4lLBcCmMHOa4u9hM/m9SEDFqJCrUaPRsKPCbCtbm9KVWh/&#10;xtqcdrFnVIKhUBKGGKeC89ANxqmw8JNByvZ+dirSOfdcz+pM5W7kKyFS7pRFWhjUZJ4H0x12Ryfh&#10;6QvrF/v93n7U+9o2TS7wLT1IeX+3FI/AornEKwx/+qQOFTm1/og6sFHCKlmvCZWQJRtgBORJlgNr&#10;Kck2KfCq5P9fqH4BUEsDBBQAAAAIAIdO4kDLGJxYuwEAAHMDAAAOAAAAZHJzL2Uyb0RvYy54bWyt&#10;U0tu2zAQ3RfoHQjua9qG4jaC5QCFkSBA0RZIcgCaoiwC/GFIW/IF2ht01U33PZfP0SFlOb9NFt1Q&#10;o5nRm/feUMur3miylxCUsxWdTaaUSCtcrey2og/31x8+URIitzXXzsqKHmSgV6v375adL+XctU7X&#10;EgiC2FB2vqJtjL5kLIhWGh4mzkuLxcaB4RFfYctq4B2iG83m0+mCdQ5qD07IEDC7Hor0hAhvAXRN&#10;o4RcO7Ez0sYBFaTmESWFVvlAV5lt00gRvzVNkJHoiqLSmE8cgvEmnWy15OUWuG+VOFHgb6HwQpPh&#10;yuLQM9SaR052oF5BGSXABdfEiXCGDUKyI6hiNn3hzV3Lvcxa0Orgz6aH/wcrvu6/A1F1RQtKLDe4&#10;8OOvn8fff49/fpAi2dP5UGLXnce+2H92PV6aMR8wmVT3DZj0RD0E62ju4Wyu7CMRmCyKxeLiEksC&#10;a7P5ZfFxcZFw2OPnHkK8kc6QFFQUcHvZVL7/EuLQOrakadZdK63zBrV9lkDMlGGJ+8AxRbHf9CdB&#10;G1cfUI++tehluhdjAGOwGYOdB7VtkU5WnSFxF5n36d6kZT99z4Mf/5XV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I/d4baAAAACgEAAA8AAAAAAAAAAQAgAAAAIgAAAGRycy9kb3ducmV2LnhtbFBL&#10;AQIUABQAAAAIAIdO4kDLGJxYuwEAAHMDAAAOAAAAAAAAAAEAIAAAACkBAABkcnMvZTJvRG9jLnht&#10;bFBLBQYAAAAABgAGAFkBAABWBQAAAAA=&#10;">
                <v:fill on="f" focussize="0,0"/>
                <v:stroke on="f"/>
                <v:imagedata o:title=""/>
                <o:lock v:ext="edit" aspectratio="f"/>
                <v:textbox inset="0mm,0mm,0mm,0mm">
                  <w:txbxContent>
                    <w:p w14:paraId="04043849">
                      <w:pPr>
                        <w:pStyle w:val="2"/>
                      </w:pPr>
                    </w:p>
                  </w:txbxContent>
                </v:textbox>
              </v:shape>
            </w:pict>
          </mc:Fallback>
        </mc:AlternateContent>
      </w:r>
      <w:r>
        <w:rPr>
          <w:rFonts w:ascii="宋体" w:hAnsi="宋体" w:cs="宋体"/>
          <w:color w:val="auto"/>
          <w:sz w:val="21"/>
          <w:szCs w:val="21"/>
          <w:highlight w:val="none"/>
          <w:lang w:val="zh-CN" w:bidi="zh-CN"/>
        </w:rPr>
        <w:t>为了落实安全管理的责任，承包人在施工过程中发生安全事故时，承包人除应按国家有关规定承担</w:t>
      </w:r>
      <w:r>
        <w:rPr>
          <w:color w:val="auto"/>
          <w:sz w:val="21"/>
          <w:szCs w:val="21"/>
          <w:highlight w:val="none"/>
        </w:rPr>
        <w:t>责任和处罚外，发包人还将按照以下标准进行考核：</w:t>
      </w:r>
    </w:p>
    <w:tbl>
      <w:tblPr>
        <w:tblStyle w:val="14"/>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283"/>
        <w:gridCol w:w="3816"/>
        <w:gridCol w:w="2226"/>
      </w:tblGrid>
      <w:tr w14:paraId="3D35C1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4" w:hRule="atLeast"/>
        </w:trPr>
        <w:tc>
          <w:tcPr>
            <w:tcW w:w="3283" w:type="dxa"/>
            <w:noWrap w:val="0"/>
            <w:vAlign w:val="top"/>
          </w:tcPr>
          <w:p w14:paraId="157132DD">
            <w:pPr>
              <w:pStyle w:val="17"/>
              <w:spacing w:before="99"/>
              <w:ind w:left="526"/>
              <w:rPr>
                <w:color w:val="auto"/>
                <w:szCs w:val="21"/>
                <w:highlight w:val="none"/>
              </w:rPr>
            </w:pPr>
            <w:r>
              <w:rPr>
                <w:color w:val="auto"/>
                <w:szCs w:val="21"/>
                <w:highlight w:val="none"/>
              </w:rPr>
              <w:t>事件类型</w:t>
            </w:r>
          </w:p>
        </w:tc>
        <w:tc>
          <w:tcPr>
            <w:tcW w:w="3816" w:type="dxa"/>
            <w:noWrap w:val="0"/>
            <w:vAlign w:val="top"/>
          </w:tcPr>
          <w:p w14:paraId="44E70EC3">
            <w:pPr>
              <w:pStyle w:val="17"/>
              <w:spacing w:before="99"/>
              <w:ind w:left="526"/>
              <w:rPr>
                <w:color w:val="auto"/>
                <w:szCs w:val="21"/>
                <w:highlight w:val="none"/>
              </w:rPr>
            </w:pPr>
            <w:r>
              <w:rPr>
                <w:color w:val="auto"/>
                <w:szCs w:val="21"/>
                <w:highlight w:val="none"/>
              </w:rPr>
              <w:t>违约金额</w:t>
            </w:r>
          </w:p>
        </w:tc>
        <w:tc>
          <w:tcPr>
            <w:tcW w:w="2226" w:type="dxa"/>
            <w:noWrap w:val="0"/>
            <w:vAlign w:val="top"/>
          </w:tcPr>
          <w:p w14:paraId="76760426">
            <w:pPr>
              <w:pStyle w:val="17"/>
              <w:spacing w:before="99"/>
              <w:ind w:left="526"/>
              <w:rPr>
                <w:color w:val="auto"/>
                <w:szCs w:val="21"/>
                <w:highlight w:val="none"/>
              </w:rPr>
            </w:pPr>
          </w:p>
        </w:tc>
      </w:tr>
      <w:tr w14:paraId="35C1CD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3283" w:type="dxa"/>
            <w:noWrap w:val="0"/>
            <w:vAlign w:val="top"/>
          </w:tcPr>
          <w:p w14:paraId="7A255F86">
            <w:pPr>
              <w:pStyle w:val="17"/>
              <w:spacing w:before="98"/>
              <w:ind w:left="526"/>
              <w:rPr>
                <w:color w:val="auto"/>
                <w:szCs w:val="21"/>
                <w:highlight w:val="none"/>
              </w:rPr>
            </w:pPr>
            <w:r>
              <w:rPr>
                <w:color w:val="auto"/>
                <w:szCs w:val="21"/>
                <w:highlight w:val="none"/>
              </w:rPr>
              <w:t>较大事故</w:t>
            </w:r>
          </w:p>
        </w:tc>
        <w:tc>
          <w:tcPr>
            <w:tcW w:w="3816" w:type="dxa"/>
            <w:noWrap w:val="0"/>
            <w:vAlign w:val="top"/>
          </w:tcPr>
          <w:p w14:paraId="6109EE8F">
            <w:pPr>
              <w:pStyle w:val="17"/>
              <w:spacing w:before="98"/>
              <w:ind w:left="430"/>
              <w:rPr>
                <w:color w:val="auto"/>
                <w:szCs w:val="21"/>
                <w:highlight w:val="none"/>
              </w:rPr>
            </w:pPr>
            <w:r>
              <w:rPr>
                <w:color w:val="auto"/>
                <w:szCs w:val="21"/>
                <w:highlight w:val="none"/>
              </w:rPr>
              <w:t>签约合同价的 0.5‰</w:t>
            </w:r>
          </w:p>
        </w:tc>
        <w:tc>
          <w:tcPr>
            <w:tcW w:w="2226" w:type="dxa"/>
            <w:noWrap w:val="0"/>
            <w:vAlign w:val="top"/>
          </w:tcPr>
          <w:p w14:paraId="5A3202A4">
            <w:pPr>
              <w:pStyle w:val="17"/>
              <w:spacing w:before="98"/>
              <w:ind w:left="430"/>
              <w:rPr>
                <w:color w:val="auto"/>
                <w:szCs w:val="21"/>
                <w:highlight w:val="none"/>
              </w:rPr>
            </w:pPr>
          </w:p>
        </w:tc>
      </w:tr>
      <w:tr w14:paraId="5D4D43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3283" w:type="dxa"/>
            <w:noWrap w:val="0"/>
            <w:vAlign w:val="top"/>
          </w:tcPr>
          <w:p w14:paraId="5A240166">
            <w:pPr>
              <w:pStyle w:val="17"/>
              <w:spacing w:before="100"/>
              <w:ind w:left="526"/>
              <w:rPr>
                <w:color w:val="auto"/>
                <w:szCs w:val="21"/>
                <w:highlight w:val="none"/>
              </w:rPr>
            </w:pPr>
            <w:r>
              <w:rPr>
                <w:color w:val="auto"/>
                <w:szCs w:val="21"/>
                <w:highlight w:val="none"/>
              </w:rPr>
              <w:t>重大事故</w:t>
            </w:r>
          </w:p>
        </w:tc>
        <w:tc>
          <w:tcPr>
            <w:tcW w:w="3816" w:type="dxa"/>
            <w:noWrap w:val="0"/>
            <w:vAlign w:val="top"/>
          </w:tcPr>
          <w:p w14:paraId="77D623B4">
            <w:pPr>
              <w:pStyle w:val="17"/>
              <w:spacing w:before="100"/>
              <w:ind w:left="430"/>
              <w:rPr>
                <w:color w:val="auto"/>
                <w:szCs w:val="21"/>
                <w:highlight w:val="none"/>
              </w:rPr>
            </w:pPr>
            <w:r>
              <w:rPr>
                <w:color w:val="auto"/>
                <w:szCs w:val="21"/>
                <w:highlight w:val="none"/>
              </w:rPr>
              <w:t>签约合同价的 2‰</w:t>
            </w:r>
          </w:p>
        </w:tc>
        <w:tc>
          <w:tcPr>
            <w:tcW w:w="2226" w:type="dxa"/>
            <w:noWrap w:val="0"/>
            <w:vAlign w:val="top"/>
          </w:tcPr>
          <w:p w14:paraId="3585BA99">
            <w:pPr>
              <w:pStyle w:val="17"/>
              <w:spacing w:before="100"/>
              <w:ind w:left="430"/>
              <w:rPr>
                <w:color w:val="auto"/>
                <w:szCs w:val="21"/>
                <w:highlight w:val="none"/>
              </w:rPr>
            </w:pPr>
          </w:p>
        </w:tc>
      </w:tr>
      <w:tr w14:paraId="5DA88E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3283" w:type="dxa"/>
            <w:noWrap w:val="0"/>
            <w:vAlign w:val="top"/>
          </w:tcPr>
          <w:p w14:paraId="24B97D7D">
            <w:pPr>
              <w:pStyle w:val="17"/>
              <w:spacing w:before="99"/>
              <w:ind w:left="526"/>
              <w:rPr>
                <w:color w:val="auto"/>
                <w:szCs w:val="21"/>
                <w:highlight w:val="none"/>
              </w:rPr>
            </w:pPr>
            <w:r>
              <w:rPr>
                <w:color w:val="auto"/>
                <w:szCs w:val="21"/>
                <w:highlight w:val="none"/>
              </w:rPr>
              <w:t>特别重大事故</w:t>
            </w:r>
          </w:p>
        </w:tc>
        <w:tc>
          <w:tcPr>
            <w:tcW w:w="3816" w:type="dxa"/>
            <w:noWrap w:val="0"/>
            <w:vAlign w:val="top"/>
          </w:tcPr>
          <w:p w14:paraId="378D748A">
            <w:pPr>
              <w:pStyle w:val="17"/>
              <w:spacing w:before="99"/>
              <w:ind w:left="430"/>
              <w:rPr>
                <w:color w:val="auto"/>
                <w:szCs w:val="21"/>
                <w:highlight w:val="none"/>
              </w:rPr>
            </w:pPr>
            <w:r>
              <w:rPr>
                <w:color w:val="auto"/>
                <w:szCs w:val="21"/>
                <w:highlight w:val="none"/>
              </w:rPr>
              <w:t>签约合同价的 4‰</w:t>
            </w:r>
          </w:p>
        </w:tc>
        <w:tc>
          <w:tcPr>
            <w:tcW w:w="2226" w:type="dxa"/>
            <w:noWrap w:val="0"/>
            <w:vAlign w:val="top"/>
          </w:tcPr>
          <w:p w14:paraId="072DD84E">
            <w:pPr>
              <w:pStyle w:val="17"/>
              <w:spacing w:before="99"/>
              <w:ind w:left="430"/>
              <w:rPr>
                <w:color w:val="auto"/>
                <w:szCs w:val="21"/>
                <w:highlight w:val="none"/>
              </w:rPr>
            </w:pPr>
          </w:p>
        </w:tc>
      </w:tr>
    </w:tbl>
    <w:p w14:paraId="7E4623AF">
      <w:pPr>
        <w:rPr>
          <w:color w:val="auto"/>
          <w:szCs w:val="21"/>
          <w:highlight w:val="none"/>
        </w:rPr>
      </w:pPr>
    </w:p>
    <w:p w14:paraId="4D4457AE">
      <w:pPr>
        <w:pStyle w:val="18"/>
        <w:numPr>
          <w:ilvl w:val="0"/>
          <w:numId w:val="24"/>
        </w:numPr>
        <w:tabs>
          <w:tab w:val="left" w:pos="1080"/>
        </w:tabs>
        <w:spacing w:before="176"/>
        <w:ind w:hanging="528"/>
        <w:jc w:val="left"/>
        <w:rPr>
          <w:color w:val="auto"/>
          <w:szCs w:val="21"/>
          <w:highlight w:val="none"/>
        </w:rPr>
      </w:pPr>
      <w:r>
        <w:rPr>
          <w:color w:val="auto"/>
          <w:spacing w:val="-10"/>
          <w:szCs w:val="21"/>
          <w:highlight w:val="none"/>
        </w:rPr>
        <w:t xml:space="preserve">较大事故，是指造成 </w:t>
      </w:r>
      <w:r>
        <w:rPr>
          <w:color w:val="auto"/>
          <w:szCs w:val="21"/>
          <w:highlight w:val="none"/>
        </w:rPr>
        <w:t>3</w:t>
      </w:r>
      <w:r>
        <w:rPr>
          <w:color w:val="auto"/>
          <w:spacing w:val="-23"/>
          <w:szCs w:val="21"/>
          <w:highlight w:val="none"/>
        </w:rPr>
        <w:t xml:space="preserve"> 人以上 </w:t>
      </w:r>
      <w:r>
        <w:rPr>
          <w:color w:val="auto"/>
          <w:szCs w:val="21"/>
          <w:highlight w:val="none"/>
        </w:rPr>
        <w:t>10</w:t>
      </w:r>
      <w:r>
        <w:rPr>
          <w:color w:val="auto"/>
          <w:spacing w:val="-14"/>
          <w:szCs w:val="21"/>
          <w:highlight w:val="none"/>
        </w:rPr>
        <w:t xml:space="preserve"> 人以下死亡，或者 </w:t>
      </w:r>
      <w:r>
        <w:rPr>
          <w:color w:val="auto"/>
          <w:szCs w:val="21"/>
          <w:highlight w:val="none"/>
        </w:rPr>
        <w:t>10</w:t>
      </w:r>
      <w:r>
        <w:rPr>
          <w:color w:val="auto"/>
          <w:spacing w:val="-23"/>
          <w:szCs w:val="21"/>
          <w:highlight w:val="none"/>
        </w:rPr>
        <w:t xml:space="preserve"> 人以上 </w:t>
      </w:r>
      <w:r>
        <w:rPr>
          <w:color w:val="auto"/>
          <w:szCs w:val="21"/>
          <w:highlight w:val="none"/>
        </w:rPr>
        <w:t>50</w:t>
      </w:r>
      <w:r>
        <w:rPr>
          <w:color w:val="auto"/>
          <w:spacing w:val="-15"/>
          <w:szCs w:val="21"/>
          <w:highlight w:val="none"/>
        </w:rPr>
        <w:t xml:space="preserve"> 人以下重伤，或者 </w:t>
      </w:r>
      <w:r>
        <w:rPr>
          <w:color w:val="auto"/>
          <w:szCs w:val="21"/>
          <w:highlight w:val="none"/>
        </w:rPr>
        <w:t>1000</w:t>
      </w:r>
      <w:r>
        <w:rPr>
          <w:color w:val="auto"/>
          <w:spacing w:val="-19"/>
          <w:szCs w:val="21"/>
          <w:highlight w:val="none"/>
        </w:rPr>
        <w:t xml:space="preserve"> 万元</w:t>
      </w:r>
    </w:p>
    <w:p w14:paraId="2590C417">
      <w:pPr>
        <w:pStyle w:val="2"/>
        <w:spacing w:before="6"/>
        <w:rPr>
          <w:color w:val="auto"/>
          <w:sz w:val="21"/>
          <w:szCs w:val="21"/>
          <w:highlight w:val="none"/>
        </w:rPr>
      </w:pPr>
    </w:p>
    <w:p w14:paraId="28CDFCD6">
      <w:pPr>
        <w:pStyle w:val="2"/>
        <w:spacing w:before="1"/>
        <w:ind w:left="132"/>
        <w:rPr>
          <w:color w:val="auto"/>
          <w:sz w:val="21"/>
          <w:szCs w:val="21"/>
          <w:highlight w:val="none"/>
        </w:rPr>
      </w:pPr>
      <w:r>
        <w:rPr>
          <w:color w:val="auto"/>
          <w:sz w:val="21"/>
          <w:szCs w:val="21"/>
          <w:highlight w:val="none"/>
        </w:rPr>
        <w:t>以上 5000 万元以下直接经济损失的事故；</w:t>
      </w:r>
    </w:p>
    <w:p w14:paraId="5FE19D5D">
      <w:pPr>
        <w:pStyle w:val="2"/>
        <w:spacing w:before="6"/>
        <w:rPr>
          <w:color w:val="auto"/>
          <w:sz w:val="21"/>
          <w:szCs w:val="21"/>
          <w:highlight w:val="none"/>
        </w:rPr>
      </w:pPr>
    </w:p>
    <w:p w14:paraId="2D7FFA37">
      <w:pPr>
        <w:pStyle w:val="18"/>
        <w:numPr>
          <w:ilvl w:val="0"/>
          <w:numId w:val="24"/>
        </w:numPr>
        <w:tabs>
          <w:tab w:val="left" w:pos="1080"/>
        </w:tabs>
        <w:ind w:hanging="528"/>
        <w:jc w:val="left"/>
        <w:rPr>
          <w:color w:val="auto"/>
          <w:szCs w:val="21"/>
          <w:highlight w:val="none"/>
        </w:rPr>
      </w:pPr>
      <w:r>
        <w:rPr>
          <w:color w:val="auto"/>
          <w:spacing w:val="-6"/>
          <w:szCs w:val="21"/>
          <w:highlight w:val="none"/>
        </w:rPr>
        <w:t xml:space="preserve">重大事故，是指造成 </w:t>
      </w:r>
      <w:r>
        <w:rPr>
          <w:color w:val="auto"/>
          <w:szCs w:val="21"/>
          <w:highlight w:val="none"/>
        </w:rPr>
        <w:t>10</w:t>
      </w:r>
      <w:r>
        <w:rPr>
          <w:color w:val="auto"/>
          <w:spacing w:val="-22"/>
          <w:szCs w:val="21"/>
          <w:highlight w:val="none"/>
        </w:rPr>
        <w:t xml:space="preserve"> 人以上 </w:t>
      </w:r>
      <w:r>
        <w:rPr>
          <w:color w:val="auto"/>
          <w:szCs w:val="21"/>
          <w:highlight w:val="none"/>
        </w:rPr>
        <w:t>30</w:t>
      </w:r>
      <w:r>
        <w:rPr>
          <w:color w:val="auto"/>
          <w:spacing w:val="-13"/>
          <w:szCs w:val="21"/>
          <w:highlight w:val="none"/>
        </w:rPr>
        <w:t xml:space="preserve"> 人以下死亡，或者 </w:t>
      </w:r>
      <w:r>
        <w:rPr>
          <w:color w:val="auto"/>
          <w:szCs w:val="21"/>
          <w:highlight w:val="none"/>
        </w:rPr>
        <w:t>50</w:t>
      </w:r>
      <w:r>
        <w:rPr>
          <w:color w:val="auto"/>
          <w:spacing w:val="-22"/>
          <w:szCs w:val="21"/>
          <w:highlight w:val="none"/>
        </w:rPr>
        <w:t xml:space="preserve"> 人以上 </w:t>
      </w:r>
      <w:r>
        <w:rPr>
          <w:color w:val="auto"/>
          <w:szCs w:val="21"/>
          <w:highlight w:val="none"/>
        </w:rPr>
        <w:t>100</w:t>
      </w:r>
      <w:r>
        <w:rPr>
          <w:color w:val="auto"/>
          <w:spacing w:val="-13"/>
          <w:szCs w:val="21"/>
          <w:highlight w:val="none"/>
        </w:rPr>
        <w:t xml:space="preserve"> 人以下重伤，或者 </w:t>
      </w:r>
      <w:r>
        <w:rPr>
          <w:color w:val="auto"/>
          <w:szCs w:val="21"/>
          <w:highlight w:val="none"/>
        </w:rPr>
        <w:t>5000</w:t>
      </w:r>
    </w:p>
    <w:p w14:paraId="7C1D8FAB">
      <w:pPr>
        <w:pStyle w:val="2"/>
        <w:spacing w:before="7"/>
        <w:rPr>
          <w:color w:val="auto"/>
          <w:sz w:val="21"/>
          <w:szCs w:val="21"/>
          <w:highlight w:val="none"/>
        </w:rPr>
      </w:pPr>
    </w:p>
    <w:p w14:paraId="222951D7">
      <w:pPr>
        <w:pStyle w:val="2"/>
        <w:ind w:left="132"/>
        <w:rPr>
          <w:color w:val="auto"/>
          <w:sz w:val="21"/>
          <w:szCs w:val="21"/>
          <w:highlight w:val="none"/>
        </w:rPr>
      </w:pPr>
      <w:r>
        <w:rPr>
          <w:color w:val="auto"/>
          <w:sz w:val="21"/>
          <w:szCs w:val="21"/>
          <w:highlight w:val="none"/>
        </w:rPr>
        <w:t>万元以上 1 亿元以下直接经济损失的事故；</w:t>
      </w:r>
    </w:p>
    <w:p w14:paraId="526CFB1C">
      <w:pPr>
        <w:pStyle w:val="2"/>
        <w:spacing w:before="7"/>
        <w:rPr>
          <w:color w:val="auto"/>
          <w:sz w:val="21"/>
          <w:szCs w:val="21"/>
          <w:highlight w:val="none"/>
        </w:rPr>
      </w:pPr>
    </w:p>
    <w:p w14:paraId="5FEDDD25">
      <w:pPr>
        <w:pStyle w:val="18"/>
        <w:numPr>
          <w:ilvl w:val="0"/>
          <w:numId w:val="24"/>
        </w:numPr>
        <w:tabs>
          <w:tab w:val="left" w:pos="1080"/>
        </w:tabs>
        <w:ind w:hanging="528"/>
        <w:jc w:val="left"/>
        <w:rPr>
          <w:color w:val="auto"/>
          <w:szCs w:val="21"/>
          <w:highlight w:val="none"/>
        </w:rPr>
      </w:pPr>
      <w:r>
        <w:rPr>
          <w:color w:val="auto"/>
          <w:spacing w:val="-7"/>
          <w:szCs w:val="21"/>
          <w:highlight w:val="none"/>
        </w:rPr>
        <w:t xml:space="preserve">特别重大事故，是指造成 </w:t>
      </w:r>
      <w:r>
        <w:rPr>
          <w:color w:val="auto"/>
          <w:szCs w:val="21"/>
          <w:highlight w:val="none"/>
        </w:rPr>
        <w:t>30</w:t>
      </w:r>
      <w:r>
        <w:rPr>
          <w:color w:val="auto"/>
          <w:spacing w:val="-14"/>
          <w:szCs w:val="21"/>
          <w:highlight w:val="none"/>
        </w:rPr>
        <w:t xml:space="preserve"> 人以上死亡，或者 </w:t>
      </w:r>
      <w:r>
        <w:rPr>
          <w:color w:val="auto"/>
          <w:szCs w:val="21"/>
          <w:highlight w:val="none"/>
        </w:rPr>
        <w:t>100</w:t>
      </w:r>
      <w:r>
        <w:rPr>
          <w:color w:val="auto"/>
          <w:spacing w:val="-13"/>
          <w:szCs w:val="21"/>
          <w:highlight w:val="none"/>
        </w:rPr>
        <w:t xml:space="preserve"> 人以上重伤</w:t>
      </w:r>
      <w:r>
        <w:rPr>
          <w:color w:val="auto"/>
          <w:szCs w:val="21"/>
          <w:highlight w:val="none"/>
        </w:rPr>
        <w:t>（</w:t>
      </w:r>
      <w:r>
        <w:rPr>
          <w:color w:val="auto"/>
          <w:spacing w:val="-2"/>
          <w:szCs w:val="21"/>
          <w:highlight w:val="none"/>
        </w:rPr>
        <w:t>包括急性工业中毒，下同</w:t>
      </w:r>
      <w:r>
        <w:rPr>
          <w:color w:val="auto"/>
          <w:spacing w:val="-7"/>
          <w:szCs w:val="21"/>
          <w:highlight w:val="none"/>
        </w:rPr>
        <w:t>），</w:t>
      </w:r>
    </w:p>
    <w:p w14:paraId="153598D1">
      <w:pPr>
        <w:pStyle w:val="2"/>
        <w:spacing w:before="6"/>
        <w:rPr>
          <w:color w:val="auto"/>
          <w:sz w:val="21"/>
          <w:szCs w:val="21"/>
          <w:highlight w:val="none"/>
        </w:rPr>
      </w:pPr>
    </w:p>
    <w:p w14:paraId="4F8ED60F">
      <w:pPr>
        <w:pStyle w:val="2"/>
        <w:spacing w:before="1"/>
        <w:ind w:left="132"/>
        <w:rPr>
          <w:color w:val="auto"/>
          <w:sz w:val="21"/>
          <w:szCs w:val="21"/>
          <w:highlight w:val="none"/>
        </w:rPr>
      </w:pPr>
      <w:r>
        <w:rPr>
          <w:color w:val="auto"/>
          <w:sz w:val="21"/>
          <w:szCs w:val="21"/>
          <w:highlight w:val="none"/>
        </w:rPr>
        <w:t>或者 1 亿元以上直接经济损失的事故；</w:t>
      </w:r>
    </w:p>
    <w:p w14:paraId="0E6946BE">
      <w:pPr>
        <w:pStyle w:val="2"/>
        <w:spacing w:before="6"/>
        <w:rPr>
          <w:color w:val="auto"/>
          <w:sz w:val="21"/>
          <w:szCs w:val="21"/>
          <w:highlight w:val="none"/>
        </w:rPr>
      </w:pPr>
    </w:p>
    <w:p w14:paraId="4CF1F7EF">
      <w:pPr>
        <w:pStyle w:val="18"/>
        <w:numPr>
          <w:ilvl w:val="0"/>
          <w:numId w:val="24"/>
        </w:numPr>
        <w:tabs>
          <w:tab w:val="left" w:pos="1080"/>
        </w:tabs>
        <w:ind w:hanging="528"/>
        <w:jc w:val="left"/>
        <w:rPr>
          <w:color w:val="auto"/>
          <w:szCs w:val="21"/>
          <w:highlight w:val="none"/>
        </w:rPr>
      </w:pPr>
      <w:r>
        <w:rPr>
          <w:color w:val="auto"/>
          <w:szCs w:val="21"/>
          <w:highlight w:val="none"/>
        </w:rPr>
        <w:t>所称的“以上”包括本数，所称的“以下”不包括本数。</w:t>
      </w:r>
    </w:p>
    <w:p w14:paraId="0FEB12F5">
      <w:pPr>
        <w:pStyle w:val="2"/>
        <w:spacing w:before="7"/>
        <w:rPr>
          <w:color w:val="auto"/>
          <w:sz w:val="21"/>
          <w:szCs w:val="21"/>
          <w:highlight w:val="none"/>
        </w:rPr>
      </w:pPr>
    </w:p>
    <w:p w14:paraId="63664C76">
      <w:pPr>
        <w:pStyle w:val="18"/>
        <w:numPr>
          <w:ilvl w:val="0"/>
          <w:numId w:val="24"/>
        </w:numPr>
        <w:tabs>
          <w:tab w:val="left" w:pos="1080"/>
        </w:tabs>
        <w:ind w:hanging="528"/>
        <w:rPr>
          <w:color w:val="auto"/>
          <w:szCs w:val="21"/>
          <w:highlight w:val="none"/>
        </w:rPr>
      </w:pPr>
      <w:r>
        <w:rPr>
          <w:color w:val="auto"/>
          <w:spacing w:val="-2"/>
          <w:szCs w:val="21"/>
          <w:highlight w:val="none"/>
        </w:rPr>
        <w:t xml:space="preserve">如整个施工过程未发生以上安全事故，则给予承包人建安费总额的 </w:t>
      </w:r>
      <w:r>
        <w:rPr>
          <w:color w:val="auto"/>
          <w:szCs w:val="21"/>
          <w:highlight w:val="none"/>
        </w:rPr>
        <w:t>1‰的安全奖励。</w:t>
      </w:r>
    </w:p>
    <w:p w14:paraId="0009B6A3">
      <w:pPr>
        <w:pStyle w:val="2"/>
        <w:spacing w:before="7"/>
        <w:rPr>
          <w:color w:val="auto"/>
          <w:sz w:val="21"/>
          <w:szCs w:val="21"/>
          <w:highlight w:val="none"/>
        </w:rPr>
      </w:pPr>
    </w:p>
    <w:p w14:paraId="62EB3E68">
      <w:pPr>
        <w:pStyle w:val="2"/>
        <w:spacing w:line="417" w:lineRule="auto"/>
        <w:ind w:left="132" w:right="443" w:firstLine="420"/>
        <w:rPr>
          <w:color w:val="auto"/>
          <w:sz w:val="21"/>
          <w:szCs w:val="21"/>
          <w:highlight w:val="none"/>
        </w:rPr>
      </w:pPr>
      <w:r>
        <w:rPr>
          <w:rFonts w:ascii="宋体" w:hAnsi="宋体" w:cs="宋体"/>
          <w:color w:val="auto"/>
          <w:spacing w:val="-2"/>
          <w:sz w:val="21"/>
          <w:szCs w:val="21"/>
          <w:highlight w:val="none"/>
          <w:lang w:val="zh-CN" w:bidi="zh-CN"/>
        </w:rPr>
        <w:t>发包人委托的监理公司负责对承包人的安全业绩进行考核。每次合同支付前，承包人提交自我安全业绩评估报告，然后交发包人委托的监理公司评价。发包人委托的监理公司在签署评价意见后，将作为</w:t>
      </w:r>
      <w:r>
        <w:rPr>
          <w:color w:val="auto"/>
          <w:sz w:val="21"/>
          <w:szCs w:val="21"/>
          <w:highlight w:val="none"/>
        </w:rPr>
        <w:t>合同支付依据之一，同时也作为是否可接受承包人再次参加发包人项目投标的依据之一。</w:t>
      </w:r>
    </w:p>
    <w:p w14:paraId="192626AC">
      <w:pPr>
        <w:pStyle w:val="2"/>
        <w:spacing w:line="269" w:lineRule="exact"/>
        <w:ind w:left="552"/>
        <w:rPr>
          <w:color w:val="auto"/>
          <w:sz w:val="21"/>
          <w:szCs w:val="21"/>
          <w:highlight w:val="none"/>
        </w:rPr>
      </w:pPr>
      <w:r>
        <w:rPr>
          <w:color w:val="auto"/>
          <w:sz w:val="21"/>
          <w:szCs w:val="21"/>
          <w:highlight w:val="none"/>
        </w:rPr>
        <w:t>十七、协议条款的修订</w:t>
      </w:r>
    </w:p>
    <w:p w14:paraId="51D835E0">
      <w:pPr>
        <w:pStyle w:val="2"/>
        <w:spacing w:before="6"/>
        <w:rPr>
          <w:color w:val="auto"/>
          <w:sz w:val="21"/>
          <w:szCs w:val="21"/>
          <w:highlight w:val="none"/>
        </w:rPr>
      </w:pPr>
    </w:p>
    <w:p w14:paraId="6B873FC5">
      <w:pPr>
        <w:pStyle w:val="2"/>
        <w:spacing w:before="1"/>
        <w:ind w:left="552"/>
        <w:rPr>
          <w:color w:val="auto"/>
          <w:sz w:val="21"/>
          <w:szCs w:val="21"/>
          <w:highlight w:val="none"/>
        </w:rPr>
      </w:pPr>
      <w:r>
        <w:rPr>
          <w:color w:val="auto"/>
          <w:sz w:val="21"/>
          <w:szCs w:val="21"/>
          <w:highlight w:val="none"/>
        </w:rPr>
        <w:t>在项目实施过程中，经双方友好协商，本协议的有关条款也可做出相应的修改。</w:t>
      </w:r>
    </w:p>
    <w:p w14:paraId="43FFBC0F">
      <w:pPr>
        <w:pStyle w:val="2"/>
        <w:spacing w:before="6"/>
        <w:rPr>
          <w:color w:val="auto"/>
          <w:sz w:val="21"/>
          <w:szCs w:val="21"/>
          <w:highlight w:val="none"/>
        </w:rPr>
      </w:pPr>
    </w:p>
    <w:p w14:paraId="5FB006CD">
      <w:pPr>
        <w:pStyle w:val="2"/>
        <w:ind w:left="552"/>
        <w:rPr>
          <w:color w:val="auto"/>
          <w:sz w:val="21"/>
          <w:szCs w:val="21"/>
          <w:highlight w:val="none"/>
        </w:rPr>
      </w:pPr>
      <w:r>
        <w:rPr>
          <w:color w:val="auto"/>
          <w:sz w:val="21"/>
          <w:szCs w:val="21"/>
          <w:highlight w:val="none"/>
        </w:rPr>
        <w:t>本工程安全管理协议，由发包人、承包人双方在施工承包合同签订时共同签署，作为施工合同附件。</w:t>
      </w:r>
    </w:p>
    <w:p w14:paraId="082C34DA">
      <w:pPr>
        <w:pStyle w:val="2"/>
        <w:tabs>
          <w:tab w:val="left" w:pos="6394"/>
        </w:tabs>
        <w:spacing w:before="152"/>
        <w:rPr>
          <w:color w:val="auto"/>
          <w:sz w:val="21"/>
          <w:szCs w:val="21"/>
          <w:highlight w:val="none"/>
        </w:rPr>
      </w:pPr>
      <w:r>
        <w:rPr>
          <w:color w:val="auto"/>
          <w:sz w:val="21"/>
          <w:szCs w:val="21"/>
          <w:highlight w:val="none"/>
        </w:rPr>
        <w:t>发包人</w:t>
      </w:r>
      <w:r>
        <w:rPr>
          <w:rFonts w:hint="eastAsia"/>
          <w:color w:val="auto"/>
          <w:sz w:val="21"/>
          <w:szCs w:val="21"/>
          <w:highlight w:val="none"/>
          <w:lang w:val="en-US" w:eastAsia="zh-CN"/>
        </w:rPr>
        <w:t>1</w:t>
      </w:r>
      <w:r>
        <w:rPr>
          <w:color w:val="auto"/>
          <w:sz w:val="21"/>
          <w:szCs w:val="21"/>
          <w:highlight w:val="none"/>
        </w:rPr>
        <w:t>：</w:t>
      </w:r>
      <w:r>
        <w:rPr>
          <w:rFonts w:hint="eastAsia"/>
          <w:color w:val="auto"/>
          <w:sz w:val="21"/>
          <w:szCs w:val="21"/>
          <w:highlight w:val="none"/>
          <w:u w:val="single"/>
          <w:lang w:val="en-US" w:eastAsia="zh-CN"/>
        </w:rPr>
        <w:t xml:space="preserve">                         </w:t>
      </w:r>
      <w:r>
        <w:rPr>
          <w:color w:val="auto"/>
          <w:sz w:val="21"/>
          <w:szCs w:val="21"/>
          <w:highlight w:val="none"/>
        </w:rPr>
        <w:t>（公章）</w:t>
      </w:r>
      <w:r>
        <w:rPr>
          <w:rFonts w:hint="eastAsia"/>
          <w:color w:val="auto"/>
          <w:sz w:val="21"/>
          <w:szCs w:val="21"/>
          <w:highlight w:val="none"/>
          <w:lang w:val="en-US" w:eastAsia="zh-CN"/>
        </w:rPr>
        <w:t xml:space="preserve">         发包人2</w:t>
      </w:r>
      <w:r>
        <w:rPr>
          <w:color w:val="auto"/>
          <w:sz w:val="21"/>
          <w:szCs w:val="21"/>
          <w:highlight w:val="none"/>
        </w:rPr>
        <w:t>：</w:t>
      </w:r>
      <w:r>
        <w:rPr>
          <w:rFonts w:hint="eastAsia"/>
          <w:color w:val="auto"/>
          <w:sz w:val="21"/>
          <w:szCs w:val="21"/>
          <w:highlight w:val="none"/>
          <w:u w:val="single"/>
          <w:lang w:val="en-US" w:eastAsia="zh-CN"/>
        </w:rPr>
        <w:t xml:space="preserve">                    </w:t>
      </w:r>
      <w:r>
        <w:rPr>
          <w:color w:val="auto"/>
          <w:sz w:val="21"/>
          <w:szCs w:val="21"/>
          <w:highlight w:val="none"/>
        </w:rPr>
        <w:t>（公章）</w:t>
      </w:r>
    </w:p>
    <w:p w14:paraId="11BC1AFF">
      <w:pPr>
        <w:pStyle w:val="2"/>
        <w:tabs>
          <w:tab w:val="left" w:pos="5880"/>
        </w:tabs>
        <w:rPr>
          <w:color w:val="auto"/>
          <w:sz w:val="21"/>
          <w:szCs w:val="21"/>
          <w:highlight w:val="none"/>
        </w:rPr>
      </w:pPr>
    </w:p>
    <w:p w14:paraId="28821107">
      <w:pPr>
        <w:pStyle w:val="2"/>
        <w:tabs>
          <w:tab w:val="left" w:pos="5974"/>
        </w:tabs>
        <w:rPr>
          <w:color w:val="auto"/>
          <w:sz w:val="21"/>
          <w:szCs w:val="21"/>
          <w:highlight w:val="none"/>
        </w:rPr>
      </w:pPr>
      <w:r>
        <w:rPr>
          <w:color w:val="auto"/>
          <w:sz w:val="21"/>
          <w:szCs w:val="21"/>
          <w:highlight w:val="none"/>
        </w:rPr>
        <w:t>法定代表人</w:t>
      </w:r>
      <w:r>
        <w:rPr>
          <w:color w:val="auto"/>
          <w:sz w:val="21"/>
          <w:szCs w:val="21"/>
          <w:highlight w:val="none"/>
        </w:rPr>
        <w:tab/>
      </w:r>
      <w:r>
        <w:rPr>
          <w:color w:val="auto"/>
          <w:sz w:val="21"/>
          <w:szCs w:val="21"/>
          <w:highlight w:val="none"/>
        </w:rPr>
        <w:t>法定代表人</w:t>
      </w:r>
    </w:p>
    <w:p w14:paraId="27B33402">
      <w:pPr>
        <w:pStyle w:val="2"/>
        <w:spacing w:before="9"/>
        <w:rPr>
          <w:color w:val="auto"/>
          <w:sz w:val="21"/>
          <w:szCs w:val="21"/>
          <w:highlight w:val="none"/>
        </w:rPr>
      </w:pPr>
    </w:p>
    <w:p w14:paraId="77BDFEF7">
      <w:pPr>
        <w:pStyle w:val="2"/>
        <w:tabs>
          <w:tab w:val="left" w:pos="2823"/>
          <w:tab w:val="left" w:pos="5974"/>
          <w:tab w:val="left" w:pos="8914"/>
        </w:tabs>
        <w:rPr>
          <w:color w:val="auto"/>
          <w:sz w:val="21"/>
          <w:szCs w:val="21"/>
          <w:highlight w:val="none"/>
        </w:rPr>
      </w:pPr>
      <w:r>
        <w:rPr>
          <w:color w:val="auto"/>
          <w:sz w:val="21"/>
          <w:szCs w:val="21"/>
          <w:highlight w:val="none"/>
        </w:rPr>
        <w:t>或其委托代理人：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（签字）</w:t>
      </w:r>
      <w:r>
        <w:rPr>
          <w:color w:val="auto"/>
          <w:sz w:val="21"/>
          <w:szCs w:val="21"/>
          <w:highlight w:val="none"/>
        </w:rPr>
        <w:tab/>
      </w:r>
      <w:r>
        <w:rPr>
          <w:color w:val="auto"/>
          <w:sz w:val="21"/>
          <w:szCs w:val="21"/>
          <w:highlight w:val="none"/>
        </w:rPr>
        <w:t>或其委托代理人：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（签字）</w:t>
      </w:r>
    </w:p>
    <w:p w14:paraId="27D9D784">
      <w:pPr>
        <w:pStyle w:val="2"/>
        <w:spacing w:before="7"/>
        <w:rPr>
          <w:color w:val="auto"/>
          <w:sz w:val="21"/>
          <w:szCs w:val="21"/>
          <w:highlight w:val="none"/>
        </w:rPr>
      </w:pPr>
    </w:p>
    <w:p w14:paraId="1CF627B7">
      <w:pPr>
        <w:pStyle w:val="2"/>
        <w:tabs>
          <w:tab w:val="left" w:pos="5974"/>
        </w:tabs>
        <w:rPr>
          <w:rFonts w:ascii="Times New Roman" w:hAnsi="Times New Roman" w:eastAsia="宋体" w:cs="Times New Roman"/>
          <w:color w:val="auto"/>
          <w:sz w:val="21"/>
          <w:szCs w:val="21"/>
          <w:highlight w:val="none"/>
        </w:rPr>
      </w:pPr>
      <w:r>
        <w:rPr>
          <w:color w:val="auto"/>
          <w:sz w:val="21"/>
          <w:szCs w:val="21"/>
          <w:highlight w:val="none"/>
        </w:rPr>
        <w:t>地址：</w:t>
      </w:r>
      <w:r>
        <w:rPr>
          <w:color w:val="auto"/>
          <w:sz w:val="21"/>
          <w:szCs w:val="21"/>
          <w:highlight w:val="none"/>
        </w:rPr>
        <w:tab/>
      </w:r>
      <w:r>
        <w:rPr>
          <w:rFonts w:ascii="Times New Roman" w:hAnsi="Times New Roman" w:eastAsia="宋体" w:cs="Times New Roman"/>
          <w:color w:val="auto"/>
          <w:sz w:val="21"/>
          <w:szCs w:val="21"/>
          <w:highlight w:val="none"/>
        </w:rPr>
        <w:t>地址：</w:t>
      </w:r>
    </w:p>
    <w:p w14:paraId="15A9938D">
      <w:pPr>
        <w:pStyle w:val="2"/>
        <w:spacing w:before="4"/>
        <w:rPr>
          <w:color w:val="auto"/>
          <w:sz w:val="21"/>
          <w:szCs w:val="21"/>
          <w:highlight w:val="none"/>
        </w:rPr>
      </w:pPr>
    </w:p>
    <w:p w14:paraId="4E0323C1">
      <w:pPr>
        <w:pStyle w:val="2"/>
        <w:tabs>
          <w:tab w:val="left" w:pos="5974"/>
        </w:tabs>
        <w:rPr>
          <w:color w:val="auto"/>
          <w:sz w:val="21"/>
          <w:szCs w:val="21"/>
          <w:highlight w:val="none"/>
        </w:rPr>
      </w:pPr>
      <w:r>
        <w:rPr>
          <w:color w:val="auto"/>
          <w:sz w:val="21"/>
          <w:szCs w:val="21"/>
          <w:highlight w:val="none"/>
        </w:rPr>
        <w:t>电话：</w:t>
      </w:r>
      <w:r>
        <w:rPr>
          <w:color w:val="auto"/>
          <w:sz w:val="21"/>
          <w:szCs w:val="21"/>
          <w:highlight w:val="none"/>
        </w:rPr>
        <w:tab/>
      </w:r>
      <w:r>
        <w:rPr>
          <w:rFonts w:ascii="Times New Roman" w:hAnsi="Times New Roman" w:eastAsia="宋体" w:cs="Times New Roman"/>
          <w:color w:val="auto"/>
          <w:sz w:val="21"/>
          <w:szCs w:val="21"/>
          <w:highlight w:val="none"/>
        </w:rPr>
        <w:t>电话：</w:t>
      </w:r>
    </w:p>
    <w:p w14:paraId="18A038C8">
      <w:pPr>
        <w:spacing w:line="219" w:lineRule="exact"/>
        <w:ind w:firstLine="210" w:firstLineChars="100"/>
        <w:rPr>
          <w:rFonts w:hint="eastAsia"/>
          <w:color w:val="auto"/>
          <w:szCs w:val="21"/>
          <w:highlight w:val="none"/>
        </w:rPr>
      </w:pPr>
    </w:p>
    <w:p w14:paraId="05288941">
      <w:pPr>
        <w:pStyle w:val="2"/>
        <w:rPr>
          <w:color w:val="auto"/>
          <w:spacing w:val="-17"/>
          <w:sz w:val="21"/>
          <w:szCs w:val="21"/>
          <w:highlight w:val="none"/>
        </w:rPr>
      </w:pPr>
      <w:r>
        <w:rPr>
          <w:color w:val="auto"/>
          <w:sz w:val="21"/>
          <w:szCs w:val="21"/>
          <w:highlight w:val="none"/>
        </w:rPr>
        <w:t>签订日期：</w:t>
      </w:r>
      <w:r>
        <w:rPr>
          <w:rFonts w:hint="eastAsia"/>
          <w:color w:val="auto"/>
          <w:sz w:val="21"/>
          <w:szCs w:val="21"/>
          <w:highlight w:val="none"/>
          <w:lang w:val="en-US" w:eastAsia="zh-CN"/>
        </w:rPr>
        <w:t xml:space="preserve">   </w:t>
      </w:r>
      <w:r>
        <w:rPr>
          <w:color w:val="auto"/>
          <w:sz w:val="21"/>
          <w:szCs w:val="21"/>
          <w:highlight w:val="none"/>
        </w:rPr>
        <w:t>年</w:t>
      </w:r>
      <w:r>
        <w:rPr>
          <w:color w:val="auto"/>
          <w:sz w:val="21"/>
          <w:szCs w:val="21"/>
          <w:highlight w:val="none"/>
        </w:rPr>
        <w:tab/>
      </w:r>
      <w:r>
        <w:rPr>
          <w:color w:val="auto"/>
          <w:sz w:val="21"/>
          <w:szCs w:val="21"/>
          <w:highlight w:val="none"/>
        </w:rPr>
        <w:t>月</w:t>
      </w:r>
      <w:r>
        <w:rPr>
          <w:rFonts w:hint="eastAsia"/>
          <w:color w:val="auto"/>
          <w:sz w:val="21"/>
          <w:szCs w:val="21"/>
          <w:highlight w:val="none"/>
        </w:rPr>
        <w:t xml:space="preserve">   </w:t>
      </w:r>
      <w:r>
        <w:rPr>
          <w:color w:val="auto"/>
          <w:sz w:val="21"/>
          <w:szCs w:val="21"/>
          <w:highlight w:val="none"/>
        </w:rPr>
        <w:t>日</w:t>
      </w:r>
      <w:r>
        <w:rPr>
          <w:rFonts w:hint="eastAsia"/>
          <w:color w:val="auto"/>
          <w:sz w:val="21"/>
          <w:szCs w:val="21"/>
          <w:highlight w:val="none"/>
        </w:rPr>
        <w:t xml:space="preserve">                          </w:t>
      </w:r>
      <w:r>
        <w:rPr>
          <w:color w:val="auto"/>
          <w:sz w:val="21"/>
          <w:szCs w:val="21"/>
          <w:highlight w:val="none"/>
        </w:rPr>
        <w:t>签订日期：</w:t>
      </w:r>
      <w:r>
        <w:rPr>
          <w:rFonts w:hint="eastAsia"/>
          <w:color w:val="auto"/>
          <w:sz w:val="21"/>
          <w:szCs w:val="21"/>
          <w:highlight w:val="none"/>
          <w:lang w:val="en-US" w:eastAsia="zh-CN"/>
        </w:rPr>
        <w:t xml:space="preserve">   </w:t>
      </w:r>
      <w:r>
        <w:rPr>
          <w:color w:val="auto"/>
          <w:sz w:val="21"/>
          <w:szCs w:val="21"/>
          <w:highlight w:val="none"/>
        </w:rPr>
        <w:t>年</w:t>
      </w:r>
      <w:r>
        <w:rPr>
          <w:rFonts w:hint="eastAsia"/>
          <w:color w:val="auto"/>
          <w:sz w:val="21"/>
          <w:szCs w:val="21"/>
          <w:highlight w:val="none"/>
        </w:rPr>
        <w:t xml:space="preserve"> </w:t>
      </w:r>
      <w:r>
        <w:rPr>
          <w:color w:val="auto"/>
          <w:sz w:val="21"/>
          <w:szCs w:val="21"/>
          <w:highlight w:val="none"/>
        </w:rPr>
        <w:t>月</w:t>
      </w:r>
      <w:r>
        <w:rPr>
          <w:rFonts w:hint="eastAsia"/>
          <w:color w:val="auto"/>
          <w:sz w:val="21"/>
          <w:szCs w:val="21"/>
          <w:highlight w:val="none"/>
        </w:rPr>
        <w:t xml:space="preserve">  </w:t>
      </w:r>
      <w:r>
        <w:rPr>
          <w:color w:val="auto"/>
          <w:spacing w:val="-17"/>
          <w:sz w:val="21"/>
          <w:szCs w:val="21"/>
          <w:highlight w:val="none"/>
        </w:rPr>
        <w:t>日</w:t>
      </w:r>
    </w:p>
    <w:p w14:paraId="674366A3">
      <w:pPr>
        <w:pStyle w:val="2"/>
        <w:tabs>
          <w:tab w:val="left" w:pos="6394"/>
        </w:tabs>
        <w:spacing w:before="152"/>
        <w:rPr>
          <w:color w:val="auto"/>
          <w:sz w:val="21"/>
          <w:szCs w:val="21"/>
          <w:highlight w:val="none"/>
        </w:rPr>
      </w:pPr>
      <w:r>
        <w:rPr>
          <w:color w:val="auto"/>
          <w:sz w:val="21"/>
          <w:szCs w:val="21"/>
          <w:highlight w:val="none"/>
        </w:rPr>
        <w:t>承包人：</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w:t>
      </w:r>
      <w:r>
        <w:rPr>
          <w:color w:val="auto"/>
          <w:sz w:val="21"/>
          <w:szCs w:val="21"/>
          <w:highlight w:val="none"/>
        </w:rPr>
        <w:t>（公章）</w:t>
      </w:r>
    </w:p>
    <w:p w14:paraId="08B1D706">
      <w:pPr>
        <w:pStyle w:val="2"/>
        <w:spacing w:before="4"/>
        <w:rPr>
          <w:color w:val="auto"/>
          <w:sz w:val="21"/>
          <w:szCs w:val="21"/>
          <w:highlight w:val="none"/>
        </w:rPr>
      </w:pPr>
    </w:p>
    <w:p w14:paraId="0C75A5DC">
      <w:pPr>
        <w:pStyle w:val="2"/>
        <w:tabs>
          <w:tab w:val="left" w:pos="5974"/>
        </w:tabs>
        <w:rPr>
          <w:color w:val="auto"/>
          <w:sz w:val="21"/>
          <w:szCs w:val="21"/>
          <w:highlight w:val="none"/>
        </w:rPr>
      </w:pPr>
      <w:r>
        <w:rPr>
          <w:color w:val="auto"/>
          <w:sz w:val="21"/>
          <w:szCs w:val="21"/>
          <w:highlight w:val="none"/>
        </w:rPr>
        <w:t>法定代表人或</w:t>
      </w:r>
      <w:r>
        <w:rPr>
          <w:rFonts w:hint="eastAsia"/>
          <w:color w:val="auto"/>
          <w:sz w:val="21"/>
          <w:szCs w:val="21"/>
          <w:highlight w:val="none"/>
          <w:lang w:val="en-US" w:eastAsia="zh-CN"/>
        </w:rPr>
        <w:t>拟派项目经理</w:t>
      </w:r>
      <w:r>
        <w:rPr>
          <w:color w:val="auto"/>
          <w:sz w:val="21"/>
          <w:szCs w:val="21"/>
          <w:highlight w:val="none"/>
        </w:rPr>
        <w:t>：</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（签字）</w:t>
      </w:r>
    </w:p>
    <w:p w14:paraId="47DB4A93">
      <w:pPr>
        <w:pStyle w:val="2"/>
        <w:spacing w:before="9"/>
        <w:rPr>
          <w:color w:val="auto"/>
          <w:sz w:val="21"/>
          <w:szCs w:val="21"/>
          <w:highlight w:val="none"/>
        </w:rPr>
      </w:pPr>
    </w:p>
    <w:p w14:paraId="10107064">
      <w:pPr>
        <w:pStyle w:val="2"/>
        <w:tabs>
          <w:tab w:val="left" w:pos="5974"/>
        </w:tabs>
        <w:rPr>
          <w:color w:val="auto"/>
          <w:sz w:val="21"/>
          <w:szCs w:val="21"/>
          <w:highlight w:val="none"/>
        </w:rPr>
      </w:pPr>
      <w:r>
        <w:rPr>
          <w:color w:val="auto"/>
          <w:sz w:val="21"/>
          <w:szCs w:val="21"/>
          <w:highlight w:val="none"/>
        </w:rPr>
        <w:t>地址：</w:t>
      </w:r>
    </w:p>
    <w:p w14:paraId="25C2D81B">
      <w:pPr>
        <w:pStyle w:val="2"/>
        <w:spacing w:before="4"/>
        <w:rPr>
          <w:color w:val="auto"/>
          <w:sz w:val="21"/>
          <w:szCs w:val="21"/>
          <w:highlight w:val="none"/>
        </w:rPr>
      </w:pPr>
    </w:p>
    <w:p w14:paraId="02010281">
      <w:pPr>
        <w:pStyle w:val="2"/>
        <w:tabs>
          <w:tab w:val="left" w:pos="5974"/>
        </w:tabs>
        <w:rPr>
          <w:color w:val="auto"/>
          <w:sz w:val="21"/>
          <w:szCs w:val="21"/>
          <w:highlight w:val="none"/>
        </w:rPr>
      </w:pPr>
      <w:r>
        <w:rPr>
          <w:color w:val="auto"/>
          <w:sz w:val="21"/>
          <w:szCs w:val="21"/>
          <w:highlight w:val="none"/>
        </w:rPr>
        <w:t>电话：</w:t>
      </w:r>
    </w:p>
    <w:p w14:paraId="3236AFDC">
      <w:pPr>
        <w:pStyle w:val="2"/>
        <w:spacing w:before="7"/>
        <w:rPr>
          <w:color w:val="auto"/>
          <w:sz w:val="21"/>
          <w:szCs w:val="21"/>
          <w:highlight w:val="none"/>
        </w:rPr>
      </w:pPr>
    </w:p>
    <w:p w14:paraId="114DFB00">
      <w:pPr>
        <w:pStyle w:val="2"/>
        <w:tabs>
          <w:tab w:val="left" w:pos="2294"/>
          <w:tab w:val="left" w:pos="2714"/>
          <w:tab w:val="left" w:pos="5759"/>
          <w:tab w:val="left" w:pos="7754"/>
          <w:tab w:val="left" w:pos="8279"/>
        </w:tabs>
        <w:ind w:left="403"/>
        <w:rPr>
          <w:color w:val="auto"/>
          <w:sz w:val="21"/>
          <w:szCs w:val="21"/>
          <w:highlight w:val="none"/>
        </w:rPr>
      </w:pPr>
      <w:r>
        <w:rPr>
          <w:color w:val="auto"/>
          <w:sz w:val="21"/>
          <w:szCs w:val="21"/>
          <w:highlight w:val="none"/>
        </w:rPr>
        <w:t>签订日期：</w:t>
      </w:r>
      <w:r>
        <w:rPr>
          <w:rFonts w:hint="eastAsia"/>
          <w:color w:val="auto"/>
          <w:sz w:val="21"/>
          <w:szCs w:val="21"/>
          <w:highlight w:val="none"/>
          <w:lang w:val="en-US" w:eastAsia="zh-CN"/>
        </w:rPr>
        <w:t xml:space="preserve">  </w:t>
      </w:r>
      <w:r>
        <w:rPr>
          <w:color w:val="auto"/>
          <w:sz w:val="21"/>
          <w:szCs w:val="21"/>
          <w:highlight w:val="none"/>
        </w:rPr>
        <w:t>年</w:t>
      </w:r>
      <w:r>
        <w:rPr>
          <w:color w:val="auto"/>
          <w:sz w:val="21"/>
          <w:szCs w:val="21"/>
          <w:highlight w:val="none"/>
        </w:rPr>
        <w:tab/>
      </w:r>
      <w:r>
        <w:rPr>
          <w:color w:val="auto"/>
          <w:sz w:val="21"/>
          <w:szCs w:val="21"/>
          <w:highlight w:val="none"/>
        </w:rPr>
        <w:t>月</w:t>
      </w:r>
      <w:r>
        <w:rPr>
          <w:rFonts w:hint="eastAsia"/>
          <w:color w:val="auto"/>
          <w:sz w:val="21"/>
          <w:szCs w:val="21"/>
          <w:highlight w:val="none"/>
        </w:rPr>
        <w:t xml:space="preserve">   </w:t>
      </w:r>
      <w:r>
        <w:rPr>
          <w:color w:val="auto"/>
          <w:sz w:val="21"/>
          <w:szCs w:val="21"/>
          <w:highlight w:val="none"/>
        </w:rPr>
        <w:t>日</w:t>
      </w:r>
    </w:p>
    <w:p w14:paraId="7E17AA5C">
      <w:pPr>
        <w:rPr>
          <w:color w:val="auto"/>
          <w:szCs w:val="21"/>
          <w:highlight w:val="none"/>
        </w:rPr>
        <w:sectPr>
          <w:footerReference r:id="rId8"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72036E12">
      <w:pPr>
        <w:pStyle w:val="4"/>
        <w:numPr>
          <w:ilvl w:val="0"/>
          <w:numId w:val="0"/>
        </w:numPr>
        <w:ind w:firstLine="3614" w:firstLineChars="1000"/>
        <w:jc w:val="left"/>
        <w:rPr>
          <w:rFonts w:hint="eastAsia" w:ascii="Times New Roman" w:hAnsi="Times New Roman" w:cs="Times New Roman"/>
          <w:color w:val="auto"/>
          <w:sz w:val="36"/>
          <w:szCs w:val="36"/>
          <w:highlight w:val="none"/>
          <w:lang w:val="en-US" w:eastAsia="zh-CN"/>
        </w:rPr>
      </w:pPr>
      <w:bookmarkStart w:id="26" w:name="_Toc31120"/>
      <w:r>
        <w:rPr>
          <w:rFonts w:hint="eastAsia" w:ascii="Times New Roman" w:hAnsi="Times New Roman" w:cs="Times New Roman"/>
          <w:color w:val="auto"/>
          <w:sz w:val="36"/>
          <w:szCs w:val="36"/>
          <w:highlight w:val="none"/>
          <w:lang w:val="en-US" w:eastAsia="zh-CN"/>
        </w:rPr>
        <w:t>第五章  工程量清单</w:t>
      </w:r>
      <w:bookmarkEnd w:id="26"/>
    </w:p>
    <w:p w14:paraId="14A68B54">
      <w:pPr>
        <w:spacing w:line="360" w:lineRule="auto"/>
        <w:ind w:firstLine="420" w:firstLineChars="200"/>
        <w:jc w:val="left"/>
        <w:rPr>
          <w:color w:val="auto"/>
          <w:highlight w:val="none"/>
        </w:rPr>
      </w:pPr>
      <w:r>
        <w:rPr>
          <w:rFonts w:hint="eastAsia" w:ascii="宋体" w:hAnsi="宋体" w:cs="宋体"/>
          <w:color w:val="auto"/>
          <w:szCs w:val="21"/>
          <w:highlight w:val="none"/>
        </w:rPr>
        <w:t>随本比选文件一同发布的</w:t>
      </w:r>
      <w:r>
        <w:rPr>
          <w:rFonts w:hint="eastAsia" w:ascii="宋体" w:hAnsi="宋体" w:cs="宋体"/>
          <w:color w:val="auto"/>
          <w:szCs w:val="21"/>
          <w:highlight w:val="none"/>
          <w:lang w:val="en-US" w:eastAsia="zh-CN"/>
        </w:rPr>
        <w:t>清单</w:t>
      </w:r>
      <w:r>
        <w:rPr>
          <w:rFonts w:hint="eastAsia" w:ascii="宋体" w:hAnsi="宋体" w:cs="宋体"/>
          <w:color w:val="auto"/>
          <w:szCs w:val="21"/>
          <w:highlight w:val="none"/>
        </w:rPr>
        <w:t>在</w:t>
      </w:r>
      <w:r>
        <w:rPr>
          <w:rFonts w:hint="eastAsia" w:ascii="宋体" w:hAnsi="宋体" w:eastAsia="宋体" w:cs="宋体"/>
          <w:color w:val="auto"/>
          <w:sz w:val="21"/>
          <w:szCs w:val="21"/>
          <w:highlight w:val="none"/>
          <w:u w:val="single"/>
        </w:rPr>
        <w:t>重庆九黎旅游控股集团公司网</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http://www.cqjljt.com/Index.shtml</w:t>
      </w:r>
      <w:r>
        <w:rPr>
          <w:rFonts w:hint="eastAsia" w:ascii="宋体" w:hAnsi="宋体" w:eastAsia="宋体" w:cs="宋体"/>
          <w:color w:val="auto"/>
          <w:sz w:val="21"/>
          <w:szCs w:val="21"/>
          <w:highlight w:val="none"/>
          <w:u w:val="single"/>
          <w:lang w:eastAsia="zh-CN"/>
        </w:rPr>
        <w:t>）</w:t>
      </w:r>
      <w:r>
        <w:rPr>
          <w:rFonts w:hint="eastAsia" w:ascii="宋体" w:hAnsi="宋体" w:cs="宋体"/>
          <w:color w:val="auto"/>
          <w:szCs w:val="21"/>
          <w:highlight w:val="none"/>
        </w:rPr>
        <w:t>下载。</w:t>
      </w:r>
      <w:r>
        <w:rPr>
          <w:rFonts w:hint="eastAsia" w:ascii="宋体" w:hAnsi="宋体"/>
          <w:color w:val="auto"/>
          <w:szCs w:val="21"/>
          <w:highlight w:val="none"/>
        </w:rPr>
        <w:t>不管下载与否比选人和比选代理机构都视为竞选人全部收到以上资料并全部知晓有关比选过程和事宜，由此产生的一切后果由竞选人自负。</w:t>
      </w:r>
    </w:p>
    <w:p w14:paraId="696486E5">
      <w:pPr>
        <w:rPr>
          <w:rFonts w:hint="eastAsia"/>
          <w:highlight w:val="none"/>
          <w:lang w:val="en-US" w:eastAsia="zh-CN"/>
        </w:rPr>
      </w:pPr>
    </w:p>
    <w:p w14:paraId="6A322CDB">
      <w:pPr>
        <w:pStyle w:val="4"/>
        <w:keepNext w:val="0"/>
        <w:keepLines w:val="0"/>
        <w:pageBreakBefore/>
        <w:widowControl w:val="0"/>
        <w:numPr>
          <w:ilvl w:val="0"/>
          <w:numId w:val="0"/>
        </w:numPr>
        <w:kinsoku/>
        <w:wordWrap/>
        <w:overflowPunct/>
        <w:topLinePunct w:val="0"/>
        <w:autoSpaceDE w:val="0"/>
        <w:autoSpaceDN w:val="0"/>
        <w:bidi w:val="0"/>
        <w:adjustRightInd w:val="0"/>
        <w:snapToGrid w:val="0"/>
        <w:ind w:firstLine="3614" w:firstLineChars="1000"/>
        <w:jc w:val="left"/>
        <w:textAlignment w:val="auto"/>
        <w:rPr>
          <w:rFonts w:hint="eastAsia" w:ascii="Times New Roman" w:hAnsi="Times New Roman" w:eastAsia="黑体" w:cs="Times New Roman"/>
          <w:color w:val="auto"/>
          <w:sz w:val="36"/>
          <w:szCs w:val="36"/>
          <w:highlight w:val="none"/>
          <w:lang w:val="en-US" w:eastAsia="zh-CN"/>
        </w:rPr>
      </w:pPr>
      <w:bookmarkStart w:id="27" w:name="_Toc13520"/>
      <w:r>
        <w:rPr>
          <w:rFonts w:hint="eastAsia" w:ascii="Times New Roman" w:hAnsi="Times New Roman" w:cs="Times New Roman"/>
          <w:color w:val="auto"/>
          <w:sz w:val="36"/>
          <w:szCs w:val="36"/>
          <w:highlight w:val="none"/>
          <w:lang w:val="en-US" w:eastAsia="zh-CN"/>
        </w:rPr>
        <w:t>第六章  图纸</w:t>
      </w:r>
      <w:bookmarkEnd w:id="27"/>
    </w:p>
    <w:p w14:paraId="53835303">
      <w:pPr>
        <w:spacing w:line="360" w:lineRule="auto"/>
        <w:ind w:firstLine="210" w:firstLineChars="100"/>
        <w:jc w:val="left"/>
        <w:rPr>
          <w:color w:val="auto"/>
          <w:highlight w:val="none"/>
        </w:rPr>
      </w:pPr>
      <w:r>
        <w:rPr>
          <w:rFonts w:hint="eastAsia" w:ascii="宋体" w:hAnsi="宋体" w:cs="宋体"/>
          <w:color w:val="auto"/>
          <w:szCs w:val="21"/>
          <w:highlight w:val="none"/>
        </w:rPr>
        <w:t>随本比选文件一同发布的图纸在</w:t>
      </w:r>
      <w:r>
        <w:rPr>
          <w:rFonts w:hint="eastAsia" w:ascii="宋体" w:hAnsi="宋体" w:eastAsia="宋体" w:cs="宋体"/>
          <w:color w:val="auto"/>
          <w:sz w:val="21"/>
          <w:szCs w:val="21"/>
          <w:highlight w:val="none"/>
          <w:u w:val="single"/>
        </w:rPr>
        <w:t>重庆九黎旅游控股集团公司网</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http://www.cqjljt.com/Index.shtml</w:t>
      </w:r>
      <w:r>
        <w:rPr>
          <w:rFonts w:hint="eastAsia" w:ascii="宋体" w:hAnsi="宋体" w:eastAsia="宋体" w:cs="宋体"/>
          <w:color w:val="auto"/>
          <w:sz w:val="21"/>
          <w:szCs w:val="21"/>
          <w:highlight w:val="none"/>
          <w:u w:val="single"/>
          <w:lang w:eastAsia="zh-CN"/>
        </w:rPr>
        <w:t>）</w:t>
      </w:r>
      <w:r>
        <w:rPr>
          <w:rFonts w:hint="eastAsia" w:ascii="宋体" w:hAnsi="宋体" w:cs="宋体"/>
          <w:color w:val="auto"/>
          <w:szCs w:val="21"/>
          <w:highlight w:val="none"/>
        </w:rPr>
        <w:t>下载。</w:t>
      </w:r>
      <w:r>
        <w:rPr>
          <w:rFonts w:hint="eastAsia" w:ascii="宋体" w:hAnsi="宋体"/>
          <w:color w:val="auto"/>
          <w:szCs w:val="21"/>
          <w:highlight w:val="none"/>
        </w:rPr>
        <w:t>不管下载与否比选人和比选代理机构都视为竞选人全部收到以上资料并全部知晓有关比选过程和事宜，由此产生的一切后果由竞选人自负。</w:t>
      </w:r>
    </w:p>
    <w:p w14:paraId="110D925F">
      <w:pPr>
        <w:pStyle w:val="12"/>
        <w:keepNext/>
        <w:keepLines/>
        <w:spacing w:line="480" w:lineRule="auto"/>
        <w:jc w:val="center"/>
        <w:outlineLvl w:val="2"/>
        <w:rPr>
          <w:rStyle w:val="20"/>
          <w:rFonts w:hint="eastAsia"/>
          <w:color w:val="auto"/>
          <w:highlight w:val="none"/>
          <w:lang w:val="en-US" w:eastAsia="zh-CN"/>
        </w:rPr>
      </w:pPr>
      <w:r>
        <w:rPr>
          <w:rFonts w:hint="eastAsia" w:ascii="宋体" w:hAnsi="宋体"/>
          <w:color w:val="auto"/>
          <w:highlight w:val="none"/>
        </w:rPr>
        <w:br w:type="page"/>
      </w:r>
      <w:bookmarkStart w:id="28" w:name="_Toc16442"/>
      <w:r>
        <w:rPr>
          <w:rStyle w:val="20"/>
          <w:rFonts w:hint="eastAsia"/>
          <w:color w:val="auto"/>
          <w:highlight w:val="none"/>
          <w:lang w:val="en-US" w:eastAsia="zh-CN"/>
        </w:rPr>
        <w:t xml:space="preserve">第七章 </w:t>
      </w:r>
      <w:bookmarkEnd w:id="23"/>
      <w:bookmarkStart w:id="29" w:name="_Toc224103492"/>
      <w:r>
        <w:rPr>
          <w:rStyle w:val="20"/>
          <w:rFonts w:hint="eastAsia"/>
          <w:color w:val="auto"/>
          <w:highlight w:val="none"/>
          <w:lang w:val="en-US" w:eastAsia="zh-CN"/>
        </w:rPr>
        <w:t>竞选文件格式</w:t>
      </w:r>
      <w:bookmarkEnd w:id="24"/>
      <w:bookmarkEnd w:id="29"/>
    </w:p>
    <w:bookmarkEnd w:id="28"/>
    <w:p w14:paraId="006188C3">
      <w:pPr>
        <w:tabs>
          <w:tab w:val="left" w:pos="2580"/>
          <w:tab w:val="left" w:pos="5940"/>
        </w:tabs>
        <w:autoSpaceDE w:val="0"/>
        <w:autoSpaceDN w:val="0"/>
        <w:adjustRightInd w:val="0"/>
        <w:snapToGrid w:val="0"/>
        <w:spacing w:line="360" w:lineRule="auto"/>
        <w:jc w:val="left"/>
        <w:outlineLvl w:val="2"/>
        <w:rPr>
          <w:rFonts w:hint="eastAsia" w:ascii="宋体" w:hAnsi="宋体" w:cs="MingLiU"/>
          <w:color w:val="auto"/>
          <w:kern w:val="0"/>
          <w:sz w:val="24"/>
          <w:highlight w:val="none"/>
        </w:rPr>
      </w:pPr>
    </w:p>
    <w:p w14:paraId="3FBF73B1">
      <w:pPr>
        <w:autoSpaceDE w:val="0"/>
        <w:autoSpaceDN w:val="0"/>
        <w:adjustRightInd w:val="0"/>
        <w:spacing w:before="9" w:line="313" w:lineRule="auto"/>
        <w:ind w:right="177" w:firstLine="464" w:firstLineChars="221"/>
        <w:rPr>
          <w:rFonts w:hint="eastAsia"/>
          <w:color w:val="auto"/>
          <w:szCs w:val="21"/>
          <w:highlight w:val="none"/>
        </w:rPr>
      </w:pPr>
    </w:p>
    <w:p w14:paraId="08137F8D">
      <w:pPr>
        <w:autoSpaceDE w:val="0"/>
        <w:autoSpaceDN w:val="0"/>
        <w:adjustRightInd w:val="0"/>
        <w:spacing w:before="9" w:line="313" w:lineRule="auto"/>
        <w:ind w:right="177" w:firstLine="464" w:firstLineChars="221"/>
        <w:rPr>
          <w:rFonts w:hint="eastAsia"/>
          <w:color w:val="auto"/>
          <w:szCs w:val="21"/>
          <w:highlight w:val="none"/>
        </w:rPr>
      </w:pPr>
    </w:p>
    <w:p w14:paraId="32CFACA2">
      <w:pPr>
        <w:tabs>
          <w:tab w:val="left" w:pos="2580"/>
          <w:tab w:val="left" w:pos="5940"/>
        </w:tabs>
        <w:autoSpaceDE w:val="0"/>
        <w:autoSpaceDN w:val="0"/>
        <w:adjustRightInd w:val="0"/>
        <w:snapToGrid w:val="0"/>
        <w:spacing w:line="360" w:lineRule="auto"/>
        <w:jc w:val="left"/>
        <w:rPr>
          <w:rFonts w:hint="eastAsia" w:ascii="宋体" w:hAnsi="宋体"/>
          <w:color w:val="auto"/>
          <w:kern w:val="0"/>
          <w:sz w:val="28"/>
          <w:szCs w:val="28"/>
          <w:highlight w:val="none"/>
        </w:rPr>
      </w:pPr>
    </w:p>
    <w:p w14:paraId="7678842C">
      <w:pPr>
        <w:pageBreakBefore/>
        <w:spacing w:line="360" w:lineRule="auto"/>
        <w:jc w:val="center"/>
        <w:outlineLvl w:val="1"/>
        <w:rPr>
          <w:rFonts w:hint="eastAsia" w:ascii="宋体" w:hAnsi="宋体"/>
          <w:color w:val="auto"/>
          <w:sz w:val="36"/>
          <w:szCs w:val="36"/>
          <w:highlight w:val="none"/>
        </w:rPr>
        <w:sectPr>
          <w:footerReference r:id="rId9"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503BC50E">
      <w:pPr>
        <w:pStyle w:val="5"/>
        <w:jc w:val="center"/>
        <w:rPr>
          <w:rFonts w:hint="eastAsia" w:ascii="宋体" w:hAnsi="宋体" w:eastAsia="宋体" w:cs="宋体"/>
          <w:b w:val="0"/>
          <w:color w:val="auto"/>
          <w:kern w:val="2"/>
          <w:sz w:val="36"/>
          <w:szCs w:val="36"/>
          <w:highlight w:val="none"/>
          <w:lang w:eastAsia="zh-CN"/>
        </w:rPr>
      </w:pPr>
      <w:bookmarkStart w:id="30" w:name="_Toc534185830"/>
      <w:bookmarkStart w:id="31" w:name="_Toc27983320"/>
      <w:bookmarkStart w:id="32" w:name="_Toc509218853"/>
      <w:r>
        <w:rPr>
          <w:rFonts w:hint="eastAsia" w:ascii="宋体" w:hAnsi="宋体" w:eastAsia="宋体" w:cs="宋体"/>
          <w:b w:val="0"/>
          <w:color w:val="auto"/>
          <w:kern w:val="2"/>
          <w:sz w:val="36"/>
          <w:szCs w:val="36"/>
          <w:highlight w:val="none"/>
        </w:rPr>
        <w:t>一、竞选保函部分</w:t>
      </w:r>
      <w:bookmarkEnd w:id="30"/>
      <w:bookmarkEnd w:id="31"/>
      <w:bookmarkEnd w:id="32"/>
      <w:r>
        <w:rPr>
          <w:rFonts w:hint="eastAsia" w:ascii="宋体" w:hAnsi="宋体" w:eastAsia="宋体" w:cs="宋体"/>
          <w:b w:val="0"/>
          <w:color w:val="auto"/>
          <w:kern w:val="2"/>
          <w:sz w:val="36"/>
          <w:szCs w:val="36"/>
          <w:highlight w:val="none"/>
          <w:lang w:eastAsia="zh-CN"/>
        </w:rPr>
        <w:t>（</w:t>
      </w:r>
      <w:r>
        <w:rPr>
          <w:rFonts w:hint="eastAsia" w:ascii="宋体" w:hAnsi="宋体" w:eastAsia="宋体" w:cs="宋体"/>
          <w:b w:val="0"/>
          <w:color w:val="auto"/>
          <w:kern w:val="2"/>
          <w:sz w:val="36"/>
          <w:szCs w:val="36"/>
          <w:highlight w:val="none"/>
          <w:lang w:val="en-US" w:eastAsia="zh-CN"/>
        </w:rPr>
        <w:t>如设置</w:t>
      </w:r>
      <w:r>
        <w:rPr>
          <w:rFonts w:hint="eastAsia" w:ascii="宋体" w:hAnsi="宋体" w:eastAsia="宋体" w:cs="宋体"/>
          <w:b w:val="0"/>
          <w:color w:val="auto"/>
          <w:kern w:val="2"/>
          <w:sz w:val="36"/>
          <w:szCs w:val="36"/>
          <w:highlight w:val="none"/>
          <w:lang w:eastAsia="zh-CN"/>
        </w:rPr>
        <w:t>）</w:t>
      </w:r>
    </w:p>
    <w:p w14:paraId="0352EA14">
      <w:pPr>
        <w:tabs>
          <w:tab w:val="left" w:pos="2580"/>
          <w:tab w:val="left" w:pos="5940"/>
        </w:tabs>
        <w:autoSpaceDE w:val="0"/>
        <w:autoSpaceDN w:val="0"/>
        <w:adjustRightInd w:val="0"/>
        <w:snapToGrid w:val="0"/>
        <w:spacing w:line="360" w:lineRule="auto"/>
        <w:jc w:val="center"/>
        <w:rPr>
          <w:rFonts w:ascii="宋体" w:hAnsi="宋体"/>
          <w:color w:val="auto"/>
          <w:kern w:val="0"/>
          <w:sz w:val="28"/>
          <w:szCs w:val="28"/>
          <w:highlight w:val="none"/>
        </w:rPr>
      </w:pPr>
      <w:r>
        <w:rPr>
          <w:rFonts w:hint="eastAsia" w:ascii="宋体" w:hAnsi="宋体"/>
          <w:color w:val="auto"/>
          <w:kern w:val="0"/>
          <w:sz w:val="28"/>
          <w:szCs w:val="28"/>
          <w:highlight w:val="none"/>
        </w:rPr>
        <w:t>（适用于竞选保证金采用方式二）</w:t>
      </w:r>
    </w:p>
    <w:p w14:paraId="5562114B">
      <w:pPr>
        <w:tabs>
          <w:tab w:val="left" w:pos="2580"/>
          <w:tab w:val="left" w:pos="5940"/>
        </w:tabs>
        <w:autoSpaceDE w:val="0"/>
        <w:autoSpaceDN w:val="0"/>
        <w:adjustRightInd w:val="0"/>
        <w:snapToGrid w:val="0"/>
        <w:spacing w:line="360" w:lineRule="auto"/>
        <w:jc w:val="center"/>
        <w:rPr>
          <w:rFonts w:hint="eastAsia" w:ascii="宋体" w:hAnsi="宋体"/>
          <w:color w:val="auto"/>
          <w:kern w:val="0"/>
          <w:sz w:val="36"/>
          <w:szCs w:val="36"/>
          <w:highlight w:val="none"/>
        </w:rPr>
      </w:pPr>
      <w:r>
        <w:rPr>
          <w:rFonts w:ascii="宋体" w:hAnsi="宋体"/>
          <w:color w:val="auto"/>
          <w:kern w:val="0"/>
          <w:sz w:val="28"/>
          <w:szCs w:val="28"/>
          <w:highlight w:val="none"/>
        </w:rPr>
        <w:br w:type="page"/>
      </w:r>
      <w:r>
        <w:rPr>
          <w:rFonts w:hint="eastAsia" w:ascii="宋体" w:hAnsi="宋体"/>
          <w:color w:val="auto"/>
          <w:kern w:val="0"/>
          <w:sz w:val="36"/>
          <w:szCs w:val="36"/>
          <w:highlight w:val="none"/>
        </w:rPr>
        <w:t>竞选保函</w:t>
      </w:r>
    </w:p>
    <w:p w14:paraId="50A04EA8">
      <w:pPr>
        <w:wordWrap w:val="0"/>
        <w:autoSpaceDE w:val="0"/>
        <w:autoSpaceDN w:val="0"/>
        <w:adjustRightInd w:val="0"/>
        <w:spacing w:line="360" w:lineRule="auto"/>
        <w:ind w:right="1120"/>
        <w:jc w:val="right"/>
        <w:rPr>
          <w:rFonts w:ascii="宋体" w:hAnsi="宋体"/>
          <w:color w:val="auto"/>
          <w:kern w:val="0"/>
          <w:sz w:val="24"/>
          <w:highlight w:val="none"/>
        </w:rPr>
      </w:pPr>
      <w:r>
        <w:rPr>
          <w:rFonts w:ascii="宋体" w:hAnsi="宋体"/>
          <w:color w:val="auto"/>
          <w:kern w:val="0"/>
          <w:sz w:val="24"/>
          <w:highlight w:val="none"/>
        </w:rPr>
        <w:t>保函编号</w:t>
      </w:r>
      <w:r>
        <w:rPr>
          <w:rFonts w:hint="eastAsia" w:ascii="宋体" w:hAnsi="宋体"/>
          <w:color w:val="auto"/>
          <w:kern w:val="0"/>
          <w:sz w:val="24"/>
          <w:highlight w:val="none"/>
        </w:rPr>
        <w:t>：</w:t>
      </w:r>
      <w:r>
        <w:rPr>
          <w:rFonts w:hint="eastAsia" w:ascii="宋体" w:hAnsi="宋体"/>
          <w:color w:val="auto"/>
          <w:kern w:val="0"/>
          <w:sz w:val="24"/>
          <w:highlight w:val="none"/>
          <w:u w:val="single"/>
        </w:rPr>
        <w:t xml:space="preserve">          </w:t>
      </w:r>
    </w:p>
    <w:p w14:paraId="58DC3741">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致:</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比选</w:t>
      </w:r>
      <w:r>
        <w:rPr>
          <w:rFonts w:ascii="宋体" w:hAnsi="宋体"/>
          <w:color w:val="auto"/>
          <w:kern w:val="0"/>
          <w:szCs w:val="21"/>
          <w:highlight w:val="none"/>
          <w:u w:val="single"/>
        </w:rPr>
        <w:t>人名称）</w:t>
      </w:r>
    </w:p>
    <w:p w14:paraId="3D802F8F">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本保函作为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竞选人</w:t>
      </w:r>
      <w:r>
        <w:rPr>
          <w:rFonts w:ascii="宋体" w:hAnsi="宋体"/>
          <w:color w:val="auto"/>
          <w:kern w:val="0"/>
          <w:szCs w:val="21"/>
          <w:highlight w:val="none"/>
          <w:u w:val="single"/>
        </w:rPr>
        <w:t>名称）</w:t>
      </w:r>
      <w:r>
        <w:rPr>
          <w:rFonts w:ascii="宋体" w:hAnsi="宋体"/>
          <w:color w:val="auto"/>
          <w:kern w:val="0"/>
          <w:szCs w:val="21"/>
          <w:highlight w:val="none"/>
        </w:rPr>
        <w:t>（以下简称“</w:t>
      </w:r>
      <w:r>
        <w:rPr>
          <w:rFonts w:hint="eastAsia" w:ascii="宋体" w:hAnsi="宋体"/>
          <w:color w:val="auto"/>
          <w:kern w:val="0"/>
          <w:szCs w:val="21"/>
          <w:highlight w:val="none"/>
        </w:rPr>
        <w:t>竞选</w:t>
      </w:r>
      <w:r>
        <w:rPr>
          <w:rFonts w:ascii="宋体" w:hAnsi="宋体"/>
          <w:color w:val="auto"/>
          <w:kern w:val="0"/>
          <w:szCs w:val="21"/>
          <w:highlight w:val="none"/>
        </w:rPr>
        <w:t>人”）在</w:t>
      </w:r>
      <w:r>
        <w:rPr>
          <w:rFonts w:ascii="宋体" w:hAnsi="宋体"/>
          <w:color w:val="auto"/>
          <w:kern w:val="0"/>
          <w:szCs w:val="21"/>
          <w:highlight w:val="none"/>
          <w:u w:val="single"/>
        </w:rPr>
        <w:t xml:space="preserve">         （项目名称）</w:t>
      </w:r>
      <w:r>
        <w:rPr>
          <w:rFonts w:ascii="宋体" w:hAnsi="宋体"/>
          <w:color w:val="auto"/>
          <w:kern w:val="0"/>
          <w:szCs w:val="21"/>
          <w:highlight w:val="none"/>
        </w:rPr>
        <w:t>向</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比选</w:t>
      </w:r>
      <w:r>
        <w:rPr>
          <w:rFonts w:ascii="宋体" w:hAnsi="宋体"/>
          <w:color w:val="auto"/>
          <w:kern w:val="0"/>
          <w:szCs w:val="21"/>
          <w:highlight w:val="none"/>
          <w:u w:val="single"/>
        </w:rPr>
        <w:t xml:space="preserve">名称）       </w:t>
      </w:r>
      <w:r>
        <w:rPr>
          <w:rFonts w:ascii="宋体" w:hAnsi="宋体"/>
          <w:color w:val="auto"/>
          <w:kern w:val="0"/>
          <w:szCs w:val="21"/>
          <w:highlight w:val="none"/>
        </w:rPr>
        <w:t>（以下简称“受益人”）提供</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（项目名称） </w:t>
      </w:r>
      <w:r>
        <w:rPr>
          <w:rFonts w:hint="eastAsia" w:ascii="宋体" w:hAnsi="宋体"/>
          <w:color w:val="auto"/>
          <w:kern w:val="0"/>
          <w:szCs w:val="21"/>
          <w:highlight w:val="none"/>
        </w:rPr>
        <w:t>比选</w:t>
      </w:r>
      <w:r>
        <w:rPr>
          <w:rFonts w:ascii="宋体" w:hAnsi="宋体"/>
          <w:color w:val="auto"/>
          <w:kern w:val="0"/>
          <w:szCs w:val="21"/>
          <w:highlight w:val="none"/>
        </w:rPr>
        <w:t>文件所需的</w:t>
      </w:r>
      <w:r>
        <w:rPr>
          <w:rFonts w:hint="eastAsia" w:ascii="宋体" w:hAnsi="宋体"/>
          <w:color w:val="auto"/>
          <w:kern w:val="0"/>
          <w:szCs w:val="21"/>
          <w:highlight w:val="none"/>
        </w:rPr>
        <w:t>竞选</w:t>
      </w:r>
      <w:r>
        <w:rPr>
          <w:rFonts w:ascii="宋体" w:hAnsi="宋体"/>
          <w:color w:val="auto"/>
          <w:kern w:val="0"/>
          <w:szCs w:val="21"/>
          <w:highlight w:val="none"/>
        </w:rPr>
        <w:t>保函文件。</w:t>
      </w:r>
    </w:p>
    <w:p w14:paraId="674DF9C7">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本保函担保金额为人民币</w:t>
      </w:r>
      <w:r>
        <w:rPr>
          <w:rFonts w:ascii="宋体" w:hAnsi="宋体"/>
          <w:snapToGrid w:val="0"/>
          <w:color w:val="auto"/>
          <w:kern w:val="0"/>
          <w:szCs w:val="21"/>
          <w:highlight w:val="none"/>
        </w:rPr>
        <w:t>（大写）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color w:val="auto"/>
          <w:kern w:val="0"/>
          <w:szCs w:val="21"/>
          <w:highlight w:val="none"/>
          <w:u w:val="single"/>
        </w:rPr>
        <w:t>比选</w:t>
      </w:r>
      <w:r>
        <w:rPr>
          <w:rFonts w:ascii="宋体" w:hAnsi="宋体"/>
          <w:color w:val="auto"/>
          <w:kern w:val="0"/>
          <w:szCs w:val="21"/>
          <w:highlight w:val="none"/>
          <w:u w:val="single"/>
        </w:rPr>
        <w:t>文件要求的保证金金额</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元）。</w:t>
      </w:r>
      <w:r>
        <w:rPr>
          <w:rFonts w:ascii="宋体" w:hAnsi="宋体"/>
          <w:color w:val="auto"/>
          <w:kern w:val="0"/>
          <w:szCs w:val="21"/>
          <w:highlight w:val="none"/>
        </w:rPr>
        <w:t>兹承诺，在收到受益人出具的说明下列任一事项的在担保金额内的书面索款通知及正本保函的</w:t>
      </w:r>
      <w:r>
        <w:rPr>
          <w:rFonts w:ascii="宋体" w:hAnsi="宋体"/>
          <w:color w:val="auto"/>
          <w:kern w:val="0"/>
          <w:szCs w:val="21"/>
          <w:highlight w:val="none"/>
          <w:u w:val="single"/>
        </w:rPr>
        <w:t xml:space="preserve">    </w:t>
      </w:r>
      <w:r>
        <w:rPr>
          <w:rFonts w:ascii="宋体" w:hAnsi="宋体"/>
          <w:color w:val="auto"/>
          <w:kern w:val="0"/>
          <w:szCs w:val="21"/>
          <w:highlight w:val="none"/>
        </w:rPr>
        <w:t>个工作日内无条件支付。（任何索赔要求务必于本保函到期日之前送达我行。）</w:t>
      </w:r>
    </w:p>
    <w:p w14:paraId="63503605">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一、</w:t>
      </w:r>
      <w:r>
        <w:rPr>
          <w:rFonts w:hint="eastAsia" w:ascii="宋体" w:hAnsi="宋体"/>
          <w:color w:val="auto"/>
          <w:kern w:val="0"/>
          <w:szCs w:val="21"/>
          <w:highlight w:val="none"/>
        </w:rPr>
        <w:t>竞选</w:t>
      </w:r>
      <w:r>
        <w:rPr>
          <w:rFonts w:ascii="宋体" w:hAnsi="宋体"/>
          <w:color w:val="auto"/>
          <w:kern w:val="0"/>
          <w:szCs w:val="21"/>
          <w:highlight w:val="none"/>
        </w:rPr>
        <w:t>人在规定的</w:t>
      </w:r>
      <w:r>
        <w:rPr>
          <w:rFonts w:hint="eastAsia" w:ascii="宋体" w:hAnsi="宋体"/>
          <w:color w:val="auto"/>
          <w:kern w:val="0"/>
          <w:szCs w:val="21"/>
          <w:highlight w:val="none"/>
        </w:rPr>
        <w:t>竞选</w:t>
      </w:r>
      <w:r>
        <w:rPr>
          <w:rFonts w:ascii="宋体" w:hAnsi="宋体"/>
          <w:color w:val="auto"/>
          <w:kern w:val="0"/>
          <w:szCs w:val="21"/>
          <w:highlight w:val="none"/>
        </w:rPr>
        <w:t>有效期内撤回其</w:t>
      </w:r>
      <w:r>
        <w:rPr>
          <w:rFonts w:hint="eastAsia" w:ascii="宋体" w:hAnsi="宋体"/>
          <w:color w:val="auto"/>
          <w:kern w:val="0"/>
          <w:szCs w:val="21"/>
          <w:highlight w:val="none"/>
        </w:rPr>
        <w:t>竞选</w:t>
      </w:r>
      <w:r>
        <w:rPr>
          <w:rFonts w:ascii="宋体" w:hAnsi="宋体"/>
          <w:color w:val="auto"/>
          <w:kern w:val="0"/>
          <w:szCs w:val="21"/>
          <w:highlight w:val="none"/>
        </w:rPr>
        <w:t>文件；</w:t>
      </w:r>
    </w:p>
    <w:p w14:paraId="14AE6B8D">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二、</w:t>
      </w:r>
      <w:r>
        <w:rPr>
          <w:rFonts w:hint="eastAsia" w:ascii="宋体" w:hAnsi="宋体"/>
          <w:color w:val="auto"/>
          <w:kern w:val="0"/>
          <w:szCs w:val="21"/>
          <w:highlight w:val="none"/>
        </w:rPr>
        <w:t>竞选</w:t>
      </w:r>
      <w:r>
        <w:rPr>
          <w:rFonts w:ascii="宋体" w:hAnsi="宋体"/>
          <w:color w:val="auto"/>
          <w:kern w:val="0"/>
          <w:szCs w:val="21"/>
          <w:highlight w:val="none"/>
        </w:rPr>
        <w:t>人被通知中</w:t>
      </w:r>
      <w:r>
        <w:rPr>
          <w:rFonts w:hint="eastAsia" w:ascii="宋体" w:hAnsi="宋体"/>
          <w:color w:val="auto"/>
          <w:kern w:val="0"/>
          <w:szCs w:val="21"/>
          <w:highlight w:val="none"/>
        </w:rPr>
        <w:t>选</w:t>
      </w:r>
      <w:r>
        <w:rPr>
          <w:rFonts w:ascii="宋体" w:hAnsi="宋体"/>
          <w:color w:val="auto"/>
          <w:kern w:val="0"/>
          <w:szCs w:val="21"/>
          <w:highlight w:val="none"/>
        </w:rPr>
        <w:t>后未能或拒绝按中</w:t>
      </w:r>
      <w:r>
        <w:rPr>
          <w:rFonts w:hint="eastAsia" w:ascii="宋体" w:hAnsi="宋体"/>
          <w:color w:val="auto"/>
          <w:kern w:val="0"/>
          <w:szCs w:val="21"/>
          <w:highlight w:val="none"/>
        </w:rPr>
        <w:t>选</w:t>
      </w:r>
      <w:r>
        <w:rPr>
          <w:rFonts w:ascii="宋体" w:hAnsi="宋体"/>
          <w:color w:val="auto"/>
          <w:kern w:val="0"/>
          <w:szCs w:val="21"/>
          <w:highlight w:val="none"/>
        </w:rPr>
        <w:t>通知书之规定签订合同；</w:t>
      </w:r>
    </w:p>
    <w:p w14:paraId="6020E8C0">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三、</w:t>
      </w:r>
      <w:r>
        <w:rPr>
          <w:rFonts w:hint="eastAsia" w:ascii="宋体" w:hAnsi="宋体"/>
          <w:color w:val="auto"/>
          <w:kern w:val="0"/>
          <w:szCs w:val="21"/>
          <w:highlight w:val="none"/>
        </w:rPr>
        <w:t>竞选</w:t>
      </w:r>
      <w:r>
        <w:rPr>
          <w:rFonts w:ascii="宋体" w:hAnsi="宋体"/>
          <w:color w:val="auto"/>
          <w:kern w:val="0"/>
          <w:szCs w:val="21"/>
          <w:highlight w:val="none"/>
        </w:rPr>
        <w:t>人未能或拒绝按照</w:t>
      </w:r>
      <w:r>
        <w:rPr>
          <w:rFonts w:hint="eastAsia" w:ascii="宋体" w:hAnsi="宋体"/>
          <w:color w:val="auto"/>
          <w:kern w:val="0"/>
          <w:szCs w:val="21"/>
          <w:highlight w:val="none"/>
        </w:rPr>
        <w:t>竞选</w:t>
      </w:r>
      <w:r>
        <w:rPr>
          <w:rFonts w:ascii="宋体" w:hAnsi="宋体"/>
          <w:color w:val="auto"/>
          <w:kern w:val="0"/>
          <w:szCs w:val="21"/>
          <w:highlight w:val="none"/>
        </w:rPr>
        <w:t>文件之规定提供履约</w:t>
      </w:r>
      <w:r>
        <w:rPr>
          <w:rFonts w:hint="eastAsia" w:ascii="宋体" w:hAnsi="宋体"/>
          <w:color w:val="auto"/>
          <w:kern w:val="0"/>
          <w:szCs w:val="21"/>
          <w:highlight w:val="none"/>
        </w:rPr>
        <w:t>担保</w:t>
      </w:r>
      <w:r>
        <w:rPr>
          <w:rFonts w:ascii="宋体" w:hAnsi="宋体"/>
          <w:color w:val="auto"/>
          <w:kern w:val="0"/>
          <w:szCs w:val="21"/>
          <w:highlight w:val="none"/>
        </w:rPr>
        <w:t>；</w:t>
      </w:r>
    </w:p>
    <w:p w14:paraId="61AADF49">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本保函有效期</w:t>
      </w:r>
      <w:r>
        <w:rPr>
          <w:rFonts w:hint="eastAsia" w:ascii="宋体" w:hAnsi="宋体"/>
          <w:color w:val="auto"/>
          <w:kern w:val="0"/>
          <w:szCs w:val="21"/>
          <w:highlight w:val="none"/>
        </w:rPr>
        <w:t>与</w:t>
      </w:r>
      <w:r>
        <w:rPr>
          <w:rFonts w:ascii="宋体" w:hAnsi="宋体"/>
          <w:color w:val="auto"/>
          <w:kern w:val="0"/>
          <w:szCs w:val="21"/>
          <w:highlight w:val="none"/>
        </w:rPr>
        <w:t>本项目</w:t>
      </w:r>
      <w:r>
        <w:rPr>
          <w:rFonts w:hint="eastAsia" w:ascii="宋体" w:hAnsi="宋体"/>
          <w:color w:val="auto"/>
          <w:kern w:val="0"/>
          <w:szCs w:val="21"/>
          <w:highlight w:val="none"/>
        </w:rPr>
        <w:t>比选</w:t>
      </w:r>
      <w:r>
        <w:rPr>
          <w:rFonts w:ascii="宋体" w:hAnsi="宋体"/>
          <w:color w:val="auto"/>
          <w:kern w:val="0"/>
          <w:szCs w:val="21"/>
          <w:highlight w:val="none"/>
        </w:rPr>
        <w:t>文件规定的</w:t>
      </w:r>
      <w:r>
        <w:rPr>
          <w:rFonts w:hint="eastAsia" w:ascii="宋体" w:hAnsi="宋体"/>
          <w:color w:val="auto"/>
          <w:kern w:val="0"/>
          <w:szCs w:val="21"/>
          <w:highlight w:val="none"/>
        </w:rPr>
        <w:t>竞选</w:t>
      </w:r>
      <w:r>
        <w:rPr>
          <w:rFonts w:ascii="宋体" w:hAnsi="宋体"/>
          <w:color w:val="auto"/>
          <w:kern w:val="0"/>
          <w:szCs w:val="21"/>
          <w:highlight w:val="none"/>
        </w:rPr>
        <w:t>有效期</w:t>
      </w:r>
      <w:r>
        <w:rPr>
          <w:rFonts w:hint="eastAsia" w:ascii="宋体" w:hAnsi="宋体"/>
          <w:color w:val="auto"/>
          <w:kern w:val="0"/>
          <w:szCs w:val="21"/>
          <w:highlight w:val="none"/>
        </w:rPr>
        <w:t>一致。</w:t>
      </w:r>
    </w:p>
    <w:p w14:paraId="2E28A286">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关于本保函的注销（含撤销）要求：</w:t>
      </w:r>
    </w:p>
    <w:p w14:paraId="590B483C">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一、本保函到期后，无论是否退回，本保函均告失效。</w:t>
      </w:r>
    </w:p>
    <w:p w14:paraId="0F9CFDD9">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二、在本保函有效期内，若</w:t>
      </w:r>
      <w:r>
        <w:rPr>
          <w:rFonts w:hint="eastAsia" w:ascii="宋体" w:hAnsi="宋体"/>
          <w:color w:val="auto"/>
          <w:kern w:val="0"/>
          <w:szCs w:val="21"/>
          <w:highlight w:val="none"/>
        </w:rPr>
        <w:t>竞选</w:t>
      </w:r>
      <w:r>
        <w:rPr>
          <w:rFonts w:ascii="宋体" w:hAnsi="宋体"/>
          <w:color w:val="auto"/>
          <w:kern w:val="0"/>
          <w:szCs w:val="21"/>
          <w:highlight w:val="none"/>
        </w:rPr>
        <w:t>人需注销（含撤销）本保函，则须提供受益人提供的准予注销（含撤销）的通知文件。</w:t>
      </w:r>
    </w:p>
    <w:p w14:paraId="27B4BCC4">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w:t>
      </w:r>
    </w:p>
    <w:p w14:paraId="3F45C890">
      <w:pPr>
        <w:autoSpaceDE w:val="0"/>
        <w:autoSpaceDN w:val="0"/>
        <w:adjustRightInd w:val="0"/>
        <w:spacing w:line="424" w:lineRule="exact"/>
        <w:ind w:firstLine="3780" w:firstLineChars="1800"/>
        <w:jc w:val="left"/>
        <w:rPr>
          <w:rFonts w:ascii="宋体" w:hAnsi="宋体"/>
          <w:color w:val="auto"/>
          <w:kern w:val="0"/>
          <w:szCs w:val="21"/>
          <w:highlight w:val="none"/>
        </w:rPr>
      </w:pPr>
      <w:r>
        <w:rPr>
          <w:rFonts w:ascii="宋体" w:hAnsi="宋体"/>
          <w:color w:val="auto"/>
          <w:kern w:val="0"/>
          <w:szCs w:val="21"/>
          <w:highlight w:val="none"/>
        </w:rPr>
        <w:t>担</w:t>
      </w:r>
      <w:r>
        <w:rPr>
          <w:rFonts w:hint="eastAsia" w:ascii="宋体" w:hAnsi="宋体"/>
          <w:color w:val="auto"/>
          <w:kern w:val="0"/>
          <w:szCs w:val="21"/>
          <w:highlight w:val="none"/>
        </w:rPr>
        <w:t xml:space="preserve"> </w:t>
      </w:r>
      <w:r>
        <w:rPr>
          <w:rFonts w:ascii="宋体" w:hAnsi="宋体"/>
          <w:color w:val="auto"/>
          <w:kern w:val="0"/>
          <w:szCs w:val="21"/>
          <w:highlight w:val="none"/>
        </w:rPr>
        <w:t>保</w:t>
      </w:r>
      <w:r>
        <w:rPr>
          <w:rFonts w:hint="eastAsia" w:ascii="宋体" w:hAnsi="宋体"/>
          <w:color w:val="auto"/>
          <w:kern w:val="0"/>
          <w:szCs w:val="21"/>
          <w:highlight w:val="none"/>
        </w:rPr>
        <w:t xml:space="preserve"> </w:t>
      </w:r>
      <w:r>
        <w:rPr>
          <w:rFonts w:ascii="宋体" w:hAnsi="宋体"/>
          <w:color w:val="auto"/>
          <w:kern w:val="0"/>
          <w:szCs w:val="21"/>
          <w:highlight w:val="none"/>
        </w:rPr>
        <w:t>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rPr>
        <w:t>（盖单位公章）</w:t>
      </w:r>
    </w:p>
    <w:p w14:paraId="78B9F5E2">
      <w:pPr>
        <w:autoSpaceDE w:val="0"/>
        <w:autoSpaceDN w:val="0"/>
        <w:adjustRightInd w:val="0"/>
        <w:spacing w:line="424" w:lineRule="exact"/>
        <w:ind w:firstLine="3780" w:firstLineChars="1800"/>
        <w:jc w:val="left"/>
        <w:rPr>
          <w:rFonts w:ascii="宋体" w:hAnsi="宋体"/>
          <w:color w:val="auto"/>
          <w:kern w:val="0"/>
          <w:szCs w:val="21"/>
          <w:highlight w:val="none"/>
        </w:rPr>
      </w:pPr>
      <w:r>
        <w:rPr>
          <w:rFonts w:ascii="宋体" w:hAnsi="宋体"/>
          <w:color w:val="auto"/>
          <w:kern w:val="0"/>
          <w:szCs w:val="21"/>
          <w:highlight w:val="none"/>
        </w:rPr>
        <w:t>法定代表人或其委托代理人：</w:t>
      </w:r>
      <w:r>
        <w:rPr>
          <w:rFonts w:hint="eastAsia" w:ascii="宋体" w:hAnsi="宋体"/>
          <w:color w:val="auto"/>
          <w:kern w:val="0"/>
          <w:szCs w:val="21"/>
          <w:highlight w:val="none"/>
          <w:u w:val="single"/>
        </w:rPr>
        <w:t xml:space="preserve">                </w:t>
      </w:r>
      <w:r>
        <w:rPr>
          <w:rFonts w:ascii="宋体" w:hAnsi="宋体"/>
          <w:color w:val="auto"/>
          <w:kern w:val="0"/>
          <w:szCs w:val="21"/>
          <w:highlight w:val="none"/>
        </w:rPr>
        <w:t>（签字或盖章）</w:t>
      </w:r>
    </w:p>
    <w:p w14:paraId="4D5CBB96">
      <w:pPr>
        <w:autoSpaceDE w:val="0"/>
        <w:autoSpaceDN w:val="0"/>
        <w:adjustRightInd w:val="0"/>
        <w:spacing w:line="424" w:lineRule="exact"/>
        <w:ind w:firstLine="3780" w:firstLineChars="1800"/>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kern w:val="0"/>
          <w:szCs w:val="21"/>
          <w:highlight w:val="none"/>
          <w:u w:val="single"/>
        </w:rPr>
        <w:t xml:space="preserve"> 　　　　　             </w:t>
      </w:r>
      <w:r>
        <w:rPr>
          <w:rFonts w:ascii="宋体" w:hAnsi="宋体"/>
          <w:color w:val="auto"/>
          <w:kern w:val="0"/>
          <w:szCs w:val="21"/>
          <w:highlight w:val="none"/>
          <w:u w:val="single"/>
        </w:rPr>
        <w:tab/>
      </w:r>
      <w:r>
        <w:rPr>
          <w:rFonts w:hint="eastAsia" w:ascii="宋体" w:hAnsi="宋体"/>
          <w:color w:val="auto"/>
          <w:kern w:val="0"/>
          <w:szCs w:val="21"/>
          <w:highlight w:val="none"/>
          <w:u w:val="single"/>
        </w:rPr>
        <w:t xml:space="preserve">     </w:t>
      </w:r>
      <w:r>
        <w:rPr>
          <w:rFonts w:ascii="宋体" w:hAnsi="宋体"/>
          <w:color w:val="auto"/>
          <w:kern w:val="0"/>
          <w:szCs w:val="21"/>
          <w:highlight w:val="none"/>
        </w:rPr>
        <w:t>（详细地址）</w:t>
      </w:r>
    </w:p>
    <w:p w14:paraId="362BB383">
      <w:pPr>
        <w:autoSpaceDE w:val="0"/>
        <w:autoSpaceDN w:val="0"/>
        <w:adjustRightInd w:val="0"/>
        <w:spacing w:line="424" w:lineRule="exact"/>
        <w:ind w:firstLine="3780" w:firstLineChars="1800"/>
        <w:jc w:val="left"/>
        <w:rPr>
          <w:rFonts w:ascii="宋体" w:hAnsi="宋体"/>
          <w:color w:val="auto"/>
          <w:kern w:val="0"/>
          <w:szCs w:val="21"/>
          <w:highlight w:val="none"/>
        </w:rPr>
      </w:pPr>
      <w:r>
        <w:rPr>
          <w:rFonts w:ascii="宋体" w:hAnsi="宋体"/>
          <w:color w:val="auto"/>
          <w:kern w:val="0"/>
          <w:szCs w:val="21"/>
          <w:highlight w:val="none"/>
        </w:rPr>
        <w:t>邮政编码：</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p>
    <w:p w14:paraId="5481737D">
      <w:pPr>
        <w:autoSpaceDE w:val="0"/>
        <w:autoSpaceDN w:val="0"/>
        <w:adjustRightInd w:val="0"/>
        <w:spacing w:line="424" w:lineRule="exact"/>
        <w:ind w:firstLine="3780" w:firstLineChars="1800"/>
        <w:jc w:val="left"/>
        <w:rPr>
          <w:rFonts w:ascii="宋体" w:hAnsi="宋体"/>
          <w:color w:val="auto"/>
          <w:kern w:val="0"/>
          <w:szCs w:val="21"/>
          <w:highlight w:val="none"/>
        </w:rPr>
      </w:pPr>
      <w:r>
        <w:rPr>
          <w:rFonts w:ascii="宋体" w:hAnsi="宋体"/>
          <w:color w:val="auto"/>
          <w:kern w:val="0"/>
          <w:szCs w:val="21"/>
          <w:highlight w:val="none"/>
        </w:rPr>
        <w:t>电</w:t>
      </w:r>
      <w:r>
        <w:rPr>
          <w:rFonts w:hint="eastAsia" w:ascii="宋体" w:hAnsi="宋体"/>
          <w:color w:val="auto"/>
          <w:kern w:val="0"/>
          <w:szCs w:val="21"/>
          <w:highlight w:val="none"/>
        </w:rPr>
        <w:t xml:space="preserve">    </w:t>
      </w:r>
      <w:r>
        <w:rPr>
          <w:rFonts w:ascii="宋体" w:hAnsi="宋体"/>
          <w:color w:val="auto"/>
          <w:kern w:val="0"/>
          <w:szCs w:val="21"/>
          <w:highlight w:val="none"/>
        </w:rPr>
        <w:t>话：</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p>
    <w:p w14:paraId="110B0A5B">
      <w:pPr>
        <w:autoSpaceDE w:val="0"/>
        <w:autoSpaceDN w:val="0"/>
        <w:adjustRightInd w:val="0"/>
        <w:spacing w:line="424" w:lineRule="exact"/>
        <w:ind w:firstLine="3780" w:firstLineChars="1800"/>
        <w:jc w:val="left"/>
        <w:rPr>
          <w:rFonts w:ascii="宋体" w:hAnsi="宋体"/>
          <w:color w:val="auto"/>
          <w:kern w:val="0"/>
          <w:szCs w:val="21"/>
          <w:highlight w:val="none"/>
        </w:rPr>
      </w:pPr>
      <w:r>
        <w:rPr>
          <w:rFonts w:ascii="宋体" w:hAnsi="宋体"/>
          <w:color w:val="auto"/>
          <w:kern w:val="0"/>
          <w:szCs w:val="21"/>
          <w:highlight w:val="none"/>
        </w:rPr>
        <w:t>联</w:t>
      </w:r>
      <w:r>
        <w:rPr>
          <w:rFonts w:hint="eastAsia" w:ascii="宋体" w:hAnsi="宋体"/>
          <w:color w:val="auto"/>
          <w:kern w:val="0"/>
          <w:szCs w:val="21"/>
          <w:highlight w:val="none"/>
        </w:rPr>
        <w:t xml:space="preserve"> </w:t>
      </w:r>
      <w:r>
        <w:rPr>
          <w:rFonts w:ascii="宋体" w:hAnsi="宋体"/>
          <w:color w:val="auto"/>
          <w:kern w:val="0"/>
          <w:szCs w:val="21"/>
          <w:highlight w:val="none"/>
        </w:rPr>
        <w:t>系</w:t>
      </w:r>
      <w:r>
        <w:rPr>
          <w:rFonts w:hint="eastAsia" w:ascii="宋体" w:hAnsi="宋体"/>
          <w:color w:val="auto"/>
          <w:kern w:val="0"/>
          <w:szCs w:val="21"/>
          <w:highlight w:val="none"/>
        </w:rPr>
        <w:t xml:space="preserve"> </w:t>
      </w:r>
      <w:r>
        <w:rPr>
          <w:rFonts w:ascii="宋体" w:hAnsi="宋体"/>
          <w:color w:val="auto"/>
          <w:kern w:val="0"/>
          <w:szCs w:val="21"/>
          <w:highlight w:val="none"/>
        </w:rPr>
        <w:t>人：</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p>
    <w:p w14:paraId="368D6039">
      <w:pPr>
        <w:autoSpaceDE w:val="0"/>
        <w:autoSpaceDN w:val="0"/>
        <w:adjustRightInd w:val="0"/>
        <w:spacing w:line="424" w:lineRule="exact"/>
        <w:ind w:firstLine="3780" w:firstLineChars="1800"/>
        <w:jc w:val="left"/>
        <w:rPr>
          <w:rFonts w:hint="eastAsia" w:ascii="宋体" w:hAnsi="宋体"/>
          <w:color w:val="auto"/>
          <w:kern w:val="0"/>
          <w:szCs w:val="21"/>
          <w:highlight w:val="none"/>
        </w:rPr>
      </w:pPr>
      <w:r>
        <w:rPr>
          <w:rFonts w:ascii="宋体" w:hAnsi="宋体"/>
          <w:color w:val="auto"/>
          <w:kern w:val="0"/>
          <w:szCs w:val="21"/>
          <w:highlight w:val="none"/>
        </w:rPr>
        <w:t xml:space="preserve">传   </w:t>
      </w:r>
      <w:r>
        <w:rPr>
          <w:rFonts w:hint="eastAsia" w:ascii="宋体" w:hAnsi="宋体"/>
          <w:color w:val="auto"/>
          <w:kern w:val="0"/>
          <w:szCs w:val="21"/>
          <w:highlight w:val="none"/>
        </w:rPr>
        <w:t xml:space="preserve"> </w:t>
      </w:r>
      <w:r>
        <w:rPr>
          <w:rFonts w:ascii="宋体" w:hAnsi="宋体"/>
          <w:color w:val="auto"/>
          <w:kern w:val="0"/>
          <w:szCs w:val="21"/>
          <w:highlight w:val="none"/>
        </w:rPr>
        <w:t>真：</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p>
    <w:p w14:paraId="73F15A14">
      <w:pPr>
        <w:autoSpaceDE w:val="0"/>
        <w:autoSpaceDN w:val="0"/>
        <w:adjustRightInd w:val="0"/>
        <w:spacing w:line="424" w:lineRule="exact"/>
        <w:jc w:val="left"/>
        <w:rPr>
          <w:rFonts w:hint="eastAsia" w:ascii="宋体" w:hAnsi="宋体"/>
          <w:color w:val="auto"/>
          <w:kern w:val="0"/>
          <w:szCs w:val="21"/>
          <w:highlight w:val="none"/>
        </w:rPr>
      </w:pPr>
      <w:r>
        <w:rPr>
          <w:rFonts w:hint="eastAsia" w:ascii="宋体" w:hAnsi="宋体"/>
          <w:b/>
          <w:bCs/>
          <w:color w:val="auto"/>
          <w:kern w:val="0"/>
          <w:szCs w:val="21"/>
          <w:highlight w:val="none"/>
        </w:rPr>
        <w:t>（注：本保函格式为参考格式，竞选人提供的竞选保函应满足竞选人须知第19款方式二规定）</w:t>
      </w:r>
    </w:p>
    <w:p w14:paraId="4DED1E95">
      <w:pPr>
        <w:pageBreakBefore/>
        <w:spacing w:line="360" w:lineRule="auto"/>
        <w:jc w:val="center"/>
        <w:outlineLvl w:val="1"/>
        <w:rPr>
          <w:rFonts w:ascii="宋体" w:hAnsi="宋体"/>
          <w:color w:val="auto"/>
          <w:sz w:val="36"/>
          <w:szCs w:val="36"/>
          <w:highlight w:val="none"/>
        </w:rPr>
      </w:pPr>
      <w:r>
        <w:rPr>
          <w:rFonts w:hint="eastAsia" w:ascii="宋体" w:hAnsi="宋体"/>
          <w:color w:val="auto"/>
          <w:sz w:val="36"/>
          <w:szCs w:val="36"/>
          <w:highlight w:val="none"/>
        </w:rPr>
        <w:t>二、竞选函部分</w:t>
      </w:r>
    </w:p>
    <w:p w14:paraId="2170C7A6">
      <w:pPr>
        <w:spacing w:line="360" w:lineRule="auto"/>
        <w:jc w:val="center"/>
        <w:rPr>
          <w:rFonts w:ascii="宋体" w:hAnsi="宋体"/>
          <w:color w:val="auto"/>
          <w:highlight w:val="none"/>
        </w:rPr>
      </w:pPr>
    </w:p>
    <w:p w14:paraId="7D9A85CD">
      <w:pPr>
        <w:spacing w:line="360" w:lineRule="auto"/>
        <w:jc w:val="center"/>
        <w:rPr>
          <w:rFonts w:ascii="宋体" w:hAnsi="宋体"/>
          <w:color w:val="auto"/>
          <w:highlight w:val="none"/>
        </w:rPr>
        <w:sectPr>
          <w:footerReference r:id="rId11" w:type="first"/>
          <w:footerReference r:id="rId10"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18600AA2">
      <w:pPr>
        <w:ind w:firstLine="260"/>
        <w:rPr>
          <w:color w:val="auto"/>
          <w:highlight w:val="none"/>
        </w:rPr>
      </w:pPr>
    </w:p>
    <w:p w14:paraId="5A954F7D">
      <w:pPr>
        <w:spacing w:line="360" w:lineRule="auto"/>
        <w:jc w:val="center"/>
        <w:rPr>
          <w:rFonts w:hint="eastAsia" w:ascii="宋体" w:hAnsi="宋体"/>
          <w:color w:val="auto"/>
          <w:kern w:val="0"/>
          <w:sz w:val="32"/>
          <w:szCs w:val="32"/>
          <w:highlight w:val="none"/>
          <w:u w:val="single"/>
        </w:rPr>
      </w:pPr>
    </w:p>
    <w:p w14:paraId="7C7506D4">
      <w:pPr>
        <w:spacing w:line="360" w:lineRule="auto"/>
        <w:jc w:val="center"/>
        <w:rPr>
          <w:rFonts w:hint="eastAsia" w:ascii="宋体" w:hAnsi="宋体"/>
          <w:color w:val="auto"/>
          <w:kern w:val="0"/>
          <w:sz w:val="32"/>
          <w:szCs w:val="32"/>
          <w:highlight w:val="none"/>
        </w:rPr>
      </w:pPr>
      <w:r>
        <w:rPr>
          <w:rFonts w:hint="eastAsia" w:ascii="宋体" w:hAnsi="宋体"/>
          <w:color w:val="auto"/>
          <w:kern w:val="0"/>
          <w:sz w:val="32"/>
          <w:szCs w:val="32"/>
          <w:highlight w:val="none"/>
          <w:u w:val="single"/>
        </w:rPr>
        <w:t xml:space="preserve">                   </w:t>
      </w:r>
      <w:r>
        <w:rPr>
          <w:rFonts w:hint="eastAsia" w:ascii="宋体" w:hAnsi="宋体"/>
          <w:color w:val="auto"/>
          <w:kern w:val="0"/>
          <w:sz w:val="32"/>
          <w:szCs w:val="32"/>
          <w:highlight w:val="none"/>
        </w:rPr>
        <w:t>（项目名称）</w:t>
      </w:r>
    </w:p>
    <w:p w14:paraId="3E2FA1E4">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BC73D9B">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D67FBDB">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38F6037">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竞选文件</w:t>
      </w:r>
    </w:p>
    <w:p w14:paraId="541B3807">
      <w:pPr>
        <w:autoSpaceDE w:val="0"/>
        <w:autoSpaceDN w:val="0"/>
        <w:adjustRightInd w:val="0"/>
        <w:snapToGrid w:val="0"/>
        <w:spacing w:line="360" w:lineRule="auto"/>
        <w:jc w:val="center"/>
        <w:rPr>
          <w:rFonts w:ascii="宋体" w:hAnsi="宋体"/>
          <w:b/>
          <w:bCs/>
          <w:color w:val="auto"/>
          <w:kern w:val="0"/>
          <w:sz w:val="40"/>
          <w:szCs w:val="40"/>
          <w:highlight w:val="none"/>
        </w:rPr>
      </w:pPr>
      <w:r>
        <w:rPr>
          <w:rFonts w:hint="eastAsia" w:ascii="宋体" w:hAnsi="宋体"/>
          <w:b/>
          <w:bCs/>
          <w:color w:val="auto"/>
          <w:kern w:val="0"/>
          <w:sz w:val="40"/>
          <w:szCs w:val="40"/>
          <w:highlight w:val="none"/>
        </w:rPr>
        <w:t>竞选函部分</w:t>
      </w:r>
    </w:p>
    <w:p w14:paraId="6B1281B2">
      <w:pPr>
        <w:autoSpaceDE w:val="0"/>
        <w:autoSpaceDN w:val="0"/>
        <w:adjustRightInd w:val="0"/>
        <w:snapToGrid w:val="0"/>
        <w:spacing w:line="360" w:lineRule="auto"/>
        <w:jc w:val="left"/>
        <w:rPr>
          <w:rFonts w:ascii="宋体" w:hAnsi="宋体"/>
          <w:b/>
          <w:color w:val="auto"/>
          <w:kern w:val="0"/>
          <w:sz w:val="20"/>
          <w:szCs w:val="20"/>
          <w:highlight w:val="none"/>
        </w:rPr>
      </w:pPr>
    </w:p>
    <w:p w14:paraId="3215BB23">
      <w:pPr>
        <w:autoSpaceDE w:val="0"/>
        <w:autoSpaceDN w:val="0"/>
        <w:adjustRightInd w:val="0"/>
        <w:snapToGrid w:val="0"/>
        <w:spacing w:line="360" w:lineRule="auto"/>
        <w:jc w:val="left"/>
        <w:rPr>
          <w:rFonts w:ascii="宋体" w:hAnsi="宋体"/>
          <w:b/>
          <w:color w:val="auto"/>
          <w:kern w:val="0"/>
          <w:sz w:val="20"/>
          <w:szCs w:val="20"/>
          <w:highlight w:val="none"/>
        </w:rPr>
      </w:pPr>
    </w:p>
    <w:p w14:paraId="5FA2F91E">
      <w:pPr>
        <w:autoSpaceDE w:val="0"/>
        <w:autoSpaceDN w:val="0"/>
        <w:adjustRightInd w:val="0"/>
        <w:snapToGrid w:val="0"/>
        <w:spacing w:line="360" w:lineRule="auto"/>
        <w:jc w:val="left"/>
        <w:rPr>
          <w:rFonts w:ascii="宋体" w:hAnsi="宋体"/>
          <w:b/>
          <w:color w:val="auto"/>
          <w:kern w:val="0"/>
          <w:sz w:val="20"/>
          <w:szCs w:val="20"/>
          <w:highlight w:val="none"/>
        </w:rPr>
      </w:pPr>
    </w:p>
    <w:p w14:paraId="5E69F7F2">
      <w:pPr>
        <w:autoSpaceDE w:val="0"/>
        <w:autoSpaceDN w:val="0"/>
        <w:adjustRightInd w:val="0"/>
        <w:snapToGrid w:val="0"/>
        <w:spacing w:line="360" w:lineRule="auto"/>
        <w:jc w:val="left"/>
        <w:rPr>
          <w:rFonts w:ascii="宋体" w:hAnsi="宋体"/>
          <w:b/>
          <w:color w:val="auto"/>
          <w:kern w:val="0"/>
          <w:sz w:val="20"/>
          <w:szCs w:val="20"/>
          <w:highlight w:val="none"/>
        </w:rPr>
      </w:pPr>
    </w:p>
    <w:p w14:paraId="464D4340">
      <w:pPr>
        <w:autoSpaceDE w:val="0"/>
        <w:autoSpaceDN w:val="0"/>
        <w:adjustRightInd w:val="0"/>
        <w:snapToGrid w:val="0"/>
        <w:spacing w:line="360" w:lineRule="auto"/>
        <w:jc w:val="left"/>
        <w:rPr>
          <w:rFonts w:ascii="宋体" w:hAnsi="宋体"/>
          <w:b/>
          <w:color w:val="auto"/>
          <w:kern w:val="0"/>
          <w:sz w:val="20"/>
          <w:szCs w:val="20"/>
          <w:highlight w:val="none"/>
        </w:rPr>
      </w:pPr>
    </w:p>
    <w:p w14:paraId="3A55E76A">
      <w:pPr>
        <w:autoSpaceDE w:val="0"/>
        <w:autoSpaceDN w:val="0"/>
        <w:adjustRightInd w:val="0"/>
        <w:snapToGrid w:val="0"/>
        <w:spacing w:line="360" w:lineRule="auto"/>
        <w:jc w:val="left"/>
        <w:rPr>
          <w:rFonts w:ascii="宋体" w:hAnsi="宋体"/>
          <w:b/>
          <w:color w:val="auto"/>
          <w:kern w:val="0"/>
          <w:sz w:val="20"/>
          <w:szCs w:val="20"/>
          <w:highlight w:val="none"/>
        </w:rPr>
      </w:pPr>
    </w:p>
    <w:p w14:paraId="0D4D73FC">
      <w:pPr>
        <w:autoSpaceDE w:val="0"/>
        <w:autoSpaceDN w:val="0"/>
        <w:adjustRightInd w:val="0"/>
        <w:snapToGrid w:val="0"/>
        <w:spacing w:line="360" w:lineRule="auto"/>
        <w:jc w:val="left"/>
        <w:rPr>
          <w:rFonts w:ascii="宋体" w:hAnsi="宋体"/>
          <w:b/>
          <w:color w:val="auto"/>
          <w:kern w:val="0"/>
          <w:sz w:val="20"/>
          <w:szCs w:val="20"/>
          <w:highlight w:val="none"/>
        </w:rPr>
      </w:pPr>
    </w:p>
    <w:p w14:paraId="2A30F8BA">
      <w:pPr>
        <w:autoSpaceDE w:val="0"/>
        <w:autoSpaceDN w:val="0"/>
        <w:adjustRightInd w:val="0"/>
        <w:snapToGrid w:val="0"/>
        <w:spacing w:line="360" w:lineRule="auto"/>
        <w:jc w:val="left"/>
        <w:rPr>
          <w:rFonts w:ascii="宋体" w:hAnsi="宋体"/>
          <w:b/>
          <w:color w:val="auto"/>
          <w:kern w:val="0"/>
          <w:sz w:val="20"/>
          <w:szCs w:val="20"/>
          <w:highlight w:val="none"/>
        </w:rPr>
      </w:pPr>
    </w:p>
    <w:p w14:paraId="72613AD7">
      <w:pPr>
        <w:autoSpaceDE w:val="0"/>
        <w:autoSpaceDN w:val="0"/>
        <w:adjustRightInd w:val="0"/>
        <w:snapToGrid w:val="0"/>
        <w:spacing w:line="360" w:lineRule="auto"/>
        <w:jc w:val="left"/>
        <w:rPr>
          <w:rFonts w:ascii="宋体" w:hAnsi="宋体"/>
          <w:b/>
          <w:color w:val="auto"/>
          <w:kern w:val="0"/>
          <w:sz w:val="20"/>
          <w:szCs w:val="20"/>
          <w:highlight w:val="none"/>
        </w:rPr>
      </w:pPr>
    </w:p>
    <w:p w14:paraId="32000C69">
      <w:pPr>
        <w:autoSpaceDE w:val="0"/>
        <w:autoSpaceDN w:val="0"/>
        <w:adjustRightInd w:val="0"/>
        <w:snapToGrid w:val="0"/>
        <w:spacing w:line="360" w:lineRule="auto"/>
        <w:jc w:val="left"/>
        <w:rPr>
          <w:rFonts w:ascii="宋体" w:hAnsi="宋体"/>
          <w:b/>
          <w:color w:val="auto"/>
          <w:kern w:val="0"/>
          <w:sz w:val="20"/>
          <w:szCs w:val="20"/>
          <w:highlight w:val="none"/>
        </w:rPr>
      </w:pPr>
    </w:p>
    <w:p w14:paraId="32664755">
      <w:pPr>
        <w:autoSpaceDE w:val="0"/>
        <w:autoSpaceDN w:val="0"/>
        <w:adjustRightInd w:val="0"/>
        <w:snapToGrid w:val="0"/>
        <w:spacing w:line="360" w:lineRule="auto"/>
        <w:jc w:val="left"/>
        <w:rPr>
          <w:rFonts w:ascii="宋体" w:hAnsi="宋体"/>
          <w:b/>
          <w:color w:val="auto"/>
          <w:kern w:val="0"/>
          <w:sz w:val="20"/>
          <w:szCs w:val="20"/>
          <w:highlight w:val="none"/>
        </w:rPr>
      </w:pPr>
    </w:p>
    <w:p w14:paraId="0A90C347">
      <w:pPr>
        <w:tabs>
          <w:tab w:val="left" w:pos="6080"/>
          <w:tab w:val="left" w:pos="6640"/>
        </w:tabs>
        <w:autoSpaceDE w:val="0"/>
        <w:autoSpaceDN w:val="0"/>
        <w:adjustRightInd w:val="0"/>
        <w:snapToGrid w:val="0"/>
        <w:spacing w:after="160"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w:t>
      </w:r>
      <w:r>
        <w:rPr>
          <w:rFonts w:hint="eastAsia" w:ascii="宋体" w:hAnsi="宋体"/>
          <w:color w:val="auto"/>
          <w:w w:val="99"/>
          <w:kern w:val="0"/>
          <w:sz w:val="28"/>
          <w:szCs w:val="28"/>
          <w:highlight w:val="none"/>
        </w:rPr>
        <w:t>公</w:t>
      </w:r>
      <w:r>
        <w:rPr>
          <w:rFonts w:ascii="宋体" w:hAnsi="宋体"/>
          <w:color w:val="auto"/>
          <w:w w:val="99"/>
          <w:kern w:val="0"/>
          <w:sz w:val="28"/>
          <w:szCs w:val="28"/>
          <w:highlight w:val="none"/>
        </w:rPr>
        <w:t>章）</w:t>
      </w:r>
    </w:p>
    <w:p w14:paraId="54A41803">
      <w:pPr>
        <w:tabs>
          <w:tab w:val="left" w:pos="6080"/>
          <w:tab w:val="left" w:pos="6640"/>
        </w:tabs>
        <w:autoSpaceDE w:val="0"/>
        <w:autoSpaceDN w:val="0"/>
        <w:adjustRightInd w:val="0"/>
        <w:snapToGrid w:val="0"/>
        <w:spacing w:after="160"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（签字或盖章）</w:t>
      </w:r>
    </w:p>
    <w:p w14:paraId="26702175">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r>
        <w:rPr>
          <w:rFonts w:hint="eastAsia" w:ascii="宋体" w:hAnsi="宋体"/>
          <w:color w:val="auto"/>
          <w:kern w:val="0"/>
          <w:sz w:val="36"/>
          <w:szCs w:val="36"/>
          <w:highlight w:val="none"/>
        </w:rPr>
        <w:t>目  录</w:t>
      </w:r>
    </w:p>
    <w:p w14:paraId="5DF0ADB8">
      <w:pPr>
        <w:rPr>
          <w:color w:val="auto"/>
          <w:highlight w:val="none"/>
        </w:rPr>
      </w:pPr>
    </w:p>
    <w:p w14:paraId="270F0CB0">
      <w:pPr>
        <w:spacing w:line="360" w:lineRule="auto"/>
        <w:rPr>
          <w:rFonts w:hint="eastAsia" w:ascii="宋体" w:hAnsi="宋体"/>
          <w:bCs/>
          <w:color w:val="auto"/>
          <w:highlight w:val="none"/>
        </w:rPr>
      </w:pPr>
      <w:r>
        <w:rPr>
          <w:rFonts w:hint="eastAsia" w:ascii="宋体" w:hAnsi="宋体"/>
          <w:bCs/>
          <w:color w:val="auto"/>
          <w:highlight w:val="none"/>
        </w:rPr>
        <w:t>1.竞选函</w:t>
      </w:r>
    </w:p>
    <w:p w14:paraId="27F8287F">
      <w:pPr>
        <w:spacing w:line="360" w:lineRule="auto"/>
        <w:rPr>
          <w:rFonts w:ascii="宋体" w:hAnsi="宋体"/>
          <w:bCs/>
          <w:color w:val="auto"/>
          <w:highlight w:val="none"/>
        </w:rPr>
      </w:pPr>
      <w:r>
        <w:rPr>
          <w:rFonts w:hint="eastAsia" w:ascii="宋体" w:hAnsi="宋体"/>
          <w:bCs/>
          <w:color w:val="auto"/>
          <w:highlight w:val="none"/>
        </w:rPr>
        <w:t>2.</w:t>
      </w:r>
      <w:r>
        <w:rPr>
          <w:rFonts w:ascii="宋体" w:hAnsi="宋体"/>
          <w:bCs/>
          <w:color w:val="auto"/>
          <w:highlight w:val="none"/>
        </w:rPr>
        <w:t>法定代表人身份证明及授权委托书</w:t>
      </w:r>
    </w:p>
    <w:p w14:paraId="48B4A042">
      <w:pPr>
        <w:spacing w:line="360" w:lineRule="auto"/>
        <w:rPr>
          <w:rFonts w:hint="eastAsia" w:ascii="宋体" w:hAnsi="宋体"/>
          <w:bCs/>
          <w:color w:val="auto"/>
          <w:highlight w:val="none"/>
        </w:rPr>
      </w:pPr>
      <w:r>
        <w:rPr>
          <w:rFonts w:hint="eastAsia" w:ascii="宋体" w:hAnsi="宋体"/>
          <w:bCs/>
          <w:color w:val="auto"/>
          <w:highlight w:val="none"/>
        </w:rPr>
        <w:t>3.银行开户证明</w:t>
      </w:r>
    </w:p>
    <w:p w14:paraId="01786A67">
      <w:pPr>
        <w:autoSpaceDE w:val="0"/>
        <w:autoSpaceDN w:val="0"/>
        <w:adjustRightInd w:val="0"/>
        <w:spacing w:line="360" w:lineRule="auto"/>
        <w:ind w:firstLine="480" w:firstLineChars="200"/>
        <w:jc w:val="left"/>
        <w:rPr>
          <w:rFonts w:ascii="宋体" w:hAnsi="宋体"/>
          <w:color w:val="auto"/>
          <w:kern w:val="0"/>
          <w:sz w:val="24"/>
          <w:highlight w:val="none"/>
        </w:rPr>
      </w:pPr>
    </w:p>
    <w:p w14:paraId="4E3ED8E8">
      <w:pPr>
        <w:autoSpaceDE w:val="0"/>
        <w:autoSpaceDN w:val="0"/>
        <w:adjustRightInd w:val="0"/>
        <w:spacing w:line="360" w:lineRule="auto"/>
        <w:ind w:firstLine="480" w:firstLineChars="200"/>
        <w:jc w:val="left"/>
        <w:rPr>
          <w:rFonts w:ascii="宋体" w:hAnsi="宋体"/>
          <w:color w:val="auto"/>
          <w:kern w:val="0"/>
          <w:sz w:val="24"/>
          <w:highlight w:val="none"/>
        </w:rPr>
      </w:pPr>
    </w:p>
    <w:p w14:paraId="122A307C">
      <w:pPr>
        <w:autoSpaceDE w:val="0"/>
        <w:autoSpaceDN w:val="0"/>
        <w:adjustRightInd w:val="0"/>
        <w:snapToGrid w:val="0"/>
        <w:spacing w:line="360" w:lineRule="auto"/>
        <w:jc w:val="left"/>
        <w:rPr>
          <w:rFonts w:ascii="宋体" w:hAnsi="宋体"/>
          <w:color w:val="auto"/>
          <w:kern w:val="0"/>
          <w:szCs w:val="21"/>
          <w:highlight w:val="none"/>
        </w:rPr>
      </w:pPr>
    </w:p>
    <w:p w14:paraId="4F23FB3F">
      <w:pPr>
        <w:autoSpaceDE w:val="0"/>
        <w:autoSpaceDN w:val="0"/>
        <w:adjustRightInd w:val="0"/>
        <w:snapToGrid w:val="0"/>
        <w:spacing w:line="360" w:lineRule="auto"/>
        <w:jc w:val="left"/>
        <w:rPr>
          <w:rFonts w:ascii="宋体" w:hAnsi="宋体"/>
          <w:color w:val="auto"/>
          <w:kern w:val="0"/>
          <w:szCs w:val="21"/>
          <w:highlight w:val="none"/>
        </w:rPr>
      </w:pPr>
    </w:p>
    <w:p w14:paraId="10479533">
      <w:pPr>
        <w:autoSpaceDE w:val="0"/>
        <w:autoSpaceDN w:val="0"/>
        <w:adjustRightInd w:val="0"/>
        <w:snapToGrid w:val="0"/>
        <w:spacing w:line="360" w:lineRule="auto"/>
        <w:jc w:val="left"/>
        <w:rPr>
          <w:rFonts w:ascii="宋体" w:hAnsi="宋体"/>
          <w:color w:val="auto"/>
          <w:kern w:val="0"/>
          <w:szCs w:val="21"/>
          <w:highlight w:val="none"/>
        </w:rPr>
      </w:pPr>
    </w:p>
    <w:p w14:paraId="3767ED2A">
      <w:pPr>
        <w:autoSpaceDE w:val="0"/>
        <w:autoSpaceDN w:val="0"/>
        <w:adjustRightInd w:val="0"/>
        <w:snapToGrid w:val="0"/>
        <w:spacing w:line="360" w:lineRule="auto"/>
        <w:jc w:val="left"/>
        <w:rPr>
          <w:rFonts w:ascii="宋体" w:hAnsi="宋体"/>
          <w:color w:val="auto"/>
          <w:kern w:val="0"/>
          <w:highlight w:val="none"/>
        </w:rPr>
      </w:pPr>
    </w:p>
    <w:p w14:paraId="24E4C1AB">
      <w:pPr>
        <w:autoSpaceDE w:val="0"/>
        <w:autoSpaceDN w:val="0"/>
        <w:adjustRightInd w:val="0"/>
        <w:snapToGrid w:val="0"/>
        <w:spacing w:line="360" w:lineRule="auto"/>
        <w:jc w:val="left"/>
        <w:rPr>
          <w:rFonts w:ascii="宋体" w:hAnsi="宋体"/>
          <w:color w:val="auto"/>
          <w:kern w:val="0"/>
          <w:highlight w:val="none"/>
        </w:rPr>
      </w:pPr>
    </w:p>
    <w:p w14:paraId="135792F1">
      <w:pPr>
        <w:autoSpaceDE w:val="0"/>
        <w:autoSpaceDN w:val="0"/>
        <w:adjustRightInd w:val="0"/>
        <w:snapToGrid w:val="0"/>
        <w:spacing w:line="360" w:lineRule="auto"/>
        <w:jc w:val="left"/>
        <w:rPr>
          <w:rFonts w:ascii="宋体" w:hAnsi="宋体"/>
          <w:color w:val="auto"/>
          <w:kern w:val="0"/>
          <w:highlight w:val="none"/>
        </w:rPr>
      </w:pPr>
    </w:p>
    <w:p w14:paraId="13FCFAF7">
      <w:pPr>
        <w:autoSpaceDE w:val="0"/>
        <w:autoSpaceDN w:val="0"/>
        <w:adjustRightInd w:val="0"/>
        <w:snapToGrid w:val="0"/>
        <w:spacing w:line="360" w:lineRule="auto"/>
        <w:jc w:val="left"/>
        <w:rPr>
          <w:rFonts w:ascii="宋体" w:hAnsi="宋体"/>
          <w:color w:val="auto"/>
          <w:kern w:val="0"/>
          <w:highlight w:val="none"/>
        </w:rPr>
      </w:pPr>
    </w:p>
    <w:p w14:paraId="3B162A4F">
      <w:pPr>
        <w:autoSpaceDE w:val="0"/>
        <w:autoSpaceDN w:val="0"/>
        <w:adjustRightInd w:val="0"/>
        <w:snapToGrid w:val="0"/>
        <w:spacing w:line="360" w:lineRule="auto"/>
        <w:jc w:val="left"/>
        <w:rPr>
          <w:rFonts w:ascii="宋体" w:hAnsi="宋体"/>
          <w:color w:val="auto"/>
          <w:kern w:val="0"/>
          <w:highlight w:val="none"/>
        </w:rPr>
      </w:pPr>
    </w:p>
    <w:p w14:paraId="5FB6D199">
      <w:pPr>
        <w:autoSpaceDE w:val="0"/>
        <w:autoSpaceDN w:val="0"/>
        <w:adjustRightInd w:val="0"/>
        <w:snapToGrid w:val="0"/>
        <w:spacing w:line="360" w:lineRule="auto"/>
        <w:jc w:val="left"/>
        <w:rPr>
          <w:rFonts w:ascii="宋体" w:hAnsi="宋体"/>
          <w:color w:val="auto"/>
          <w:kern w:val="0"/>
          <w:highlight w:val="none"/>
        </w:rPr>
      </w:pPr>
    </w:p>
    <w:p w14:paraId="29760F7B">
      <w:pPr>
        <w:autoSpaceDE w:val="0"/>
        <w:autoSpaceDN w:val="0"/>
        <w:adjustRightInd w:val="0"/>
        <w:snapToGrid w:val="0"/>
        <w:spacing w:line="360" w:lineRule="auto"/>
        <w:jc w:val="left"/>
        <w:rPr>
          <w:rFonts w:ascii="宋体" w:hAnsi="宋体"/>
          <w:color w:val="auto"/>
          <w:kern w:val="0"/>
          <w:highlight w:val="none"/>
        </w:rPr>
      </w:pPr>
    </w:p>
    <w:p w14:paraId="4566B295">
      <w:pPr>
        <w:autoSpaceDE w:val="0"/>
        <w:autoSpaceDN w:val="0"/>
        <w:adjustRightInd w:val="0"/>
        <w:snapToGrid w:val="0"/>
        <w:spacing w:line="360" w:lineRule="auto"/>
        <w:jc w:val="left"/>
        <w:rPr>
          <w:rFonts w:ascii="宋体" w:hAnsi="宋体"/>
          <w:color w:val="auto"/>
          <w:kern w:val="0"/>
          <w:highlight w:val="none"/>
        </w:rPr>
      </w:pPr>
    </w:p>
    <w:p w14:paraId="254E171E">
      <w:pPr>
        <w:autoSpaceDE w:val="0"/>
        <w:autoSpaceDN w:val="0"/>
        <w:adjustRightInd w:val="0"/>
        <w:snapToGrid w:val="0"/>
        <w:spacing w:line="360" w:lineRule="auto"/>
        <w:jc w:val="left"/>
        <w:rPr>
          <w:rFonts w:ascii="宋体" w:hAnsi="宋体"/>
          <w:color w:val="auto"/>
          <w:w w:val="99"/>
          <w:kern w:val="0"/>
          <w:sz w:val="28"/>
          <w:szCs w:val="28"/>
          <w:highlight w:val="none"/>
        </w:rPr>
      </w:pPr>
    </w:p>
    <w:p w14:paraId="40DAE3B9">
      <w:pPr>
        <w:autoSpaceDE w:val="0"/>
        <w:autoSpaceDN w:val="0"/>
        <w:adjustRightInd w:val="0"/>
        <w:snapToGrid w:val="0"/>
        <w:spacing w:line="360" w:lineRule="auto"/>
        <w:jc w:val="left"/>
        <w:rPr>
          <w:rFonts w:ascii="宋体" w:hAnsi="宋体"/>
          <w:color w:val="auto"/>
          <w:w w:val="99"/>
          <w:kern w:val="0"/>
          <w:sz w:val="28"/>
          <w:szCs w:val="28"/>
          <w:highlight w:val="none"/>
        </w:rPr>
      </w:pPr>
    </w:p>
    <w:p w14:paraId="2D567643">
      <w:pPr>
        <w:autoSpaceDE w:val="0"/>
        <w:autoSpaceDN w:val="0"/>
        <w:adjustRightInd w:val="0"/>
        <w:snapToGrid w:val="0"/>
        <w:spacing w:line="360" w:lineRule="auto"/>
        <w:jc w:val="left"/>
        <w:rPr>
          <w:rFonts w:ascii="宋体" w:hAnsi="宋体"/>
          <w:color w:val="auto"/>
          <w:w w:val="99"/>
          <w:kern w:val="0"/>
          <w:sz w:val="28"/>
          <w:szCs w:val="28"/>
          <w:highlight w:val="none"/>
        </w:rPr>
      </w:pPr>
    </w:p>
    <w:p w14:paraId="5C1A7510">
      <w:pPr>
        <w:autoSpaceDE w:val="0"/>
        <w:autoSpaceDN w:val="0"/>
        <w:adjustRightInd w:val="0"/>
        <w:snapToGrid w:val="0"/>
        <w:spacing w:line="360" w:lineRule="auto"/>
        <w:jc w:val="left"/>
        <w:rPr>
          <w:rFonts w:ascii="宋体" w:hAnsi="宋体"/>
          <w:color w:val="auto"/>
          <w:w w:val="99"/>
          <w:kern w:val="0"/>
          <w:sz w:val="28"/>
          <w:szCs w:val="28"/>
          <w:highlight w:val="none"/>
        </w:rPr>
      </w:pPr>
    </w:p>
    <w:p w14:paraId="3C85A2C9">
      <w:pPr>
        <w:snapToGrid w:val="0"/>
        <w:spacing w:line="360" w:lineRule="auto"/>
        <w:jc w:val="center"/>
        <w:outlineLvl w:val="2"/>
        <w:rPr>
          <w:rFonts w:hint="eastAsia" w:ascii="宋体" w:hAnsi="宋体"/>
          <w:b/>
          <w:color w:val="auto"/>
          <w:highlight w:val="none"/>
        </w:rPr>
      </w:pPr>
      <w:bookmarkStart w:id="33" w:name="_Toc224103495"/>
      <w:bookmarkStart w:id="34" w:name="_Toc277082643"/>
      <w:bookmarkStart w:id="35" w:name="_Toc287607867"/>
      <w:bookmarkStart w:id="36" w:name="_Toc509218854"/>
      <w:bookmarkStart w:id="37" w:name="_Toc430530530"/>
      <w:bookmarkStart w:id="38" w:name="_Toc534185831"/>
      <w:bookmarkStart w:id="39" w:name="_Toc287620814"/>
      <w:r>
        <w:rPr>
          <w:rFonts w:ascii="宋体" w:hAnsi="宋体"/>
          <w:color w:val="auto"/>
          <w:highlight w:val="none"/>
        </w:rPr>
        <w:br w:type="page"/>
      </w:r>
      <w:bookmarkEnd w:id="33"/>
      <w:bookmarkEnd w:id="34"/>
      <w:bookmarkEnd w:id="35"/>
      <w:bookmarkEnd w:id="36"/>
      <w:bookmarkEnd w:id="37"/>
      <w:bookmarkEnd w:id="38"/>
      <w:bookmarkEnd w:id="39"/>
      <w:bookmarkStart w:id="40" w:name="_Toc29416"/>
      <w:bookmarkStart w:id="41" w:name="_Toc14234"/>
      <w:r>
        <w:rPr>
          <w:rFonts w:hint="eastAsia" w:ascii="宋体" w:hAnsi="宋体"/>
          <w:b/>
          <w:bCs/>
          <w:snapToGrid w:val="0"/>
          <w:color w:val="auto"/>
          <w:kern w:val="0"/>
          <w:sz w:val="28"/>
          <w:szCs w:val="28"/>
          <w:highlight w:val="none"/>
        </w:rPr>
        <w:t>1.</w:t>
      </w:r>
      <w:bookmarkEnd w:id="40"/>
      <w:bookmarkEnd w:id="41"/>
      <w:r>
        <w:rPr>
          <w:rFonts w:hint="eastAsia" w:ascii="宋体" w:hAnsi="宋体"/>
          <w:b/>
          <w:bCs/>
          <w:snapToGrid w:val="0"/>
          <w:color w:val="auto"/>
          <w:kern w:val="0"/>
          <w:sz w:val="28"/>
          <w:szCs w:val="28"/>
          <w:highlight w:val="none"/>
        </w:rPr>
        <w:t>竞选函</w:t>
      </w:r>
    </w:p>
    <w:p w14:paraId="184A4748">
      <w:pPr>
        <w:tabs>
          <w:tab w:val="left" w:pos="2640"/>
        </w:tabs>
        <w:autoSpaceDE w:val="0"/>
        <w:autoSpaceDN w:val="0"/>
        <w:adjustRightInd w:val="0"/>
        <w:spacing w:line="400" w:lineRule="exact"/>
        <w:rPr>
          <w:rFonts w:ascii="宋体" w:hAnsi="宋体"/>
          <w:snapToGrid w:val="0"/>
          <w:color w:val="auto"/>
          <w:kern w:val="0"/>
          <w:szCs w:val="21"/>
          <w:highlight w:val="none"/>
        </w:rPr>
      </w:pPr>
      <w:bookmarkStart w:id="42" w:name="_Toc22723"/>
      <w:bookmarkStart w:id="43" w:name="_Toc15801"/>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rPr>
        <w:t>比选</w:t>
      </w:r>
      <w:r>
        <w:rPr>
          <w:rFonts w:ascii="宋体" w:hAnsi="宋体"/>
          <w:snapToGrid w:val="0"/>
          <w:color w:val="auto"/>
          <w:kern w:val="0"/>
          <w:szCs w:val="21"/>
          <w:highlight w:val="none"/>
          <w:u w:val="single"/>
        </w:rPr>
        <w:t>人名称）</w:t>
      </w:r>
      <w:r>
        <w:rPr>
          <w:rFonts w:ascii="宋体" w:hAnsi="宋体"/>
          <w:snapToGrid w:val="0"/>
          <w:color w:val="auto"/>
          <w:kern w:val="0"/>
          <w:szCs w:val="21"/>
          <w:highlight w:val="none"/>
        </w:rPr>
        <w:t>：</w:t>
      </w:r>
    </w:p>
    <w:p w14:paraId="6AD8CDAC">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（项目名称）</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文件的全部内容，</w:t>
      </w:r>
      <w:r>
        <w:rPr>
          <w:rFonts w:hint="eastAsia" w:ascii="宋体" w:hAnsi="宋体"/>
          <w:snapToGrid w:val="0"/>
          <w:color w:val="auto"/>
          <w:kern w:val="0"/>
          <w:szCs w:val="21"/>
          <w:highlight w:val="none"/>
        </w:rPr>
        <w:t xml:space="preserve">我方愿以人民币（大写）          （¥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元）</w:t>
      </w:r>
      <w:r>
        <w:rPr>
          <w:rFonts w:ascii="宋体" w:hAnsi="宋体"/>
          <w:snapToGrid w:val="0"/>
          <w:color w:val="auto"/>
          <w:kern w:val="0"/>
          <w:szCs w:val="21"/>
          <w:highlight w:val="none"/>
        </w:rPr>
        <w:t>的比选总报价进行报价</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含甲供材料及其他约定固定费用），安全文明施工费</w:t>
      </w:r>
      <w:r>
        <w:rPr>
          <w:rFonts w:hint="eastAsia" w:ascii="宋体" w:hAnsi="宋体"/>
          <w:snapToGrid w:val="0"/>
          <w:color w:val="auto"/>
          <w:kern w:val="0"/>
          <w:szCs w:val="21"/>
          <w:highlight w:val="none"/>
          <w:u w:val="single"/>
          <w:lang w:val="en-US" w:eastAsia="zh-CN"/>
        </w:rPr>
        <w:t xml:space="preserve">        </w:t>
      </w:r>
      <w:r>
        <w:rPr>
          <w:rFonts w:hint="eastAsia" w:ascii="宋体" w:hAnsi="宋体"/>
          <w:snapToGrid w:val="0"/>
          <w:color w:val="auto"/>
          <w:kern w:val="0"/>
          <w:szCs w:val="21"/>
          <w:highlight w:val="none"/>
          <w:lang w:val="en-US" w:eastAsia="zh-CN"/>
        </w:rPr>
        <w:t>元；</w:t>
      </w:r>
      <w:r>
        <w:rPr>
          <w:rFonts w:hint="eastAsia" w:ascii="宋体" w:hAnsi="宋体"/>
          <w:snapToGrid w:val="0"/>
          <w:color w:val="auto"/>
          <w:kern w:val="0"/>
          <w:szCs w:val="21"/>
          <w:highlight w:val="none"/>
        </w:rPr>
        <w:t>项目</w:t>
      </w:r>
      <w:r>
        <w:rPr>
          <w:rFonts w:hint="eastAsia" w:ascii="宋体" w:hAnsi="宋体"/>
          <w:snapToGrid w:val="0"/>
          <w:color w:val="auto"/>
          <w:kern w:val="0"/>
          <w:szCs w:val="21"/>
          <w:highlight w:val="none"/>
          <w:lang w:val="en-US" w:eastAsia="zh-CN"/>
        </w:rPr>
        <w:t>主要负责人</w:t>
      </w:r>
      <w:r>
        <w:rPr>
          <w:rFonts w:hint="eastAsia" w:ascii="宋体" w:hAnsi="宋体"/>
          <w:snapToGrid w:val="0"/>
          <w:color w:val="auto"/>
          <w:kern w:val="0"/>
          <w:szCs w:val="21"/>
          <w:highlight w:val="none"/>
        </w:rPr>
        <w:t>由</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担任</w:t>
      </w:r>
      <w:r>
        <w:rPr>
          <w:rFonts w:hint="eastAsia" w:ascii="宋体" w:hAnsi="宋体"/>
          <w:snapToGrid w:val="0"/>
          <w:color w:val="auto"/>
          <w:kern w:val="0"/>
          <w:szCs w:val="21"/>
          <w:highlight w:val="none"/>
          <w:lang w:eastAsia="zh-CN"/>
        </w:rPr>
        <w:t>。</w:t>
      </w:r>
      <w:r>
        <w:rPr>
          <w:rFonts w:ascii="宋体" w:hAnsi="宋体"/>
          <w:snapToGrid w:val="0"/>
          <w:color w:val="auto"/>
          <w:kern w:val="0"/>
          <w:szCs w:val="21"/>
          <w:highlight w:val="none"/>
        </w:rPr>
        <w:t>工期</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，按合同约定实施和完成承包工程，修补工程中的任何缺陷，工程质量达到</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 xml:space="preserve"> 。</w:t>
      </w:r>
    </w:p>
    <w:p w14:paraId="460163D3">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我方承诺在</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有效期内不修改、撤销</w:t>
      </w:r>
      <w:r>
        <w:rPr>
          <w:rFonts w:hint="eastAsia" w:ascii="宋体" w:hAnsi="宋体"/>
          <w:snapToGrid w:val="0"/>
          <w:color w:val="auto"/>
          <w:kern w:val="0"/>
          <w:szCs w:val="21"/>
          <w:highlight w:val="none"/>
        </w:rPr>
        <w:t>竞选</w:t>
      </w:r>
      <w:r>
        <w:rPr>
          <w:rFonts w:ascii="宋体" w:hAnsi="宋体"/>
          <w:snapToGrid w:val="0"/>
          <w:color w:val="auto"/>
          <w:kern w:val="0"/>
          <w:szCs w:val="21"/>
          <w:highlight w:val="none"/>
        </w:rPr>
        <w:t>文件。</w:t>
      </w:r>
    </w:p>
    <w:p w14:paraId="6345896B">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w:t>
      </w:r>
      <w:r>
        <w:rPr>
          <w:rFonts w:hint="eastAsia" w:ascii="宋体" w:hAnsi="宋体"/>
          <w:snapToGrid w:val="0"/>
          <w:color w:val="auto"/>
          <w:kern w:val="0"/>
          <w:szCs w:val="21"/>
          <w:highlight w:val="none"/>
        </w:rPr>
        <w:t>竞选</w:t>
      </w:r>
      <w:r>
        <w:rPr>
          <w:rFonts w:ascii="宋体" w:hAnsi="宋体"/>
          <w:snapToGrid w:val="0"/>
          <w:color w:val="auto"/>
          <w:kern w:val="0"/>
          <w:szCs w:val="21"/>
          <w:highlight w:val="none"/>
        </w:rPr>
        <w:t>函提交</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保证金一份，金额为人民币（大写）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保证金</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与</w:t>
      </w:r>
      <w:r>
        <w:rPr>
          <w:rFonts w:hint="eastAsia" w:ascii="宋体" w:hAnsi="宋体"/>
          <w:snapToGrid w:val="0"/>
          <w:color w:val="auto"/>
          <w:kern w:val="0"/>
          <w:szCs w:val="21"/>
          <w:highlight w:val="none"/>
        </w:rPr>
        <w:t>比选有效期</w:t>
      </w:r>
      <w:r>
        <w:rPr>
          <w:rFonts w:ascii="宋体" w:hAnsi="宋体"/>
          <w:snapToGrid w:val="0"/>
          <w:color w:val="auto"/>
          <w:kern w:val="0"/>
          <w:szCs w:val="21"/>
          <w:highlight w:val="none"/>
        </w:rPr>
        <w:t>一致，在此期间，若我方违反招</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有关法律、法规及本</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文件的相关规定，</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保证金的受益人为</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w:t>
      </w:r>
    </w:p>
    <w:p w14:paraId="07D0371A">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14:paraId="590DACE7">
      <w:pPr>
        <w:autoSpaceDE w:val="0"/>
        <w:autoSpaceDN w:val="0"/>
        <w:adjustRightInd w:val="0"/>
        <w:spacing w:line="360" w:lineRule="auto"/>
        <w:ind w:firstLine="420" w:firstLineChars="200"/>
        <w:rPr>
          <w:rFonts w:ascii="宋体" w:hAnsi="宋体"/>
          <w:snapToGrid w:val="0"/>
          <w:kern w:val="0"/>
          <w:sz w:val="10"/>
          <w:szCs w:val="10"/>
          <w:highlight w:val="none"/>
        </w:rPr>
      </w:pPr>
      <w:r>
        <w:rPr>
          <w:rStyle w:val="21"/>
          <w:rFonts w:ascii="宋体" w:hAnsi="宋体"/>
          <w:kern w:val="0"/>
          <w:szCs w:val="21"/>
          <w:highlight w:val="none"/>
        </w:rPr>
        <w:t>（1）我方承诺在收到中选通知书后，在中选通知书规定的期限</w:t>
      </w:r>
      <w:r>
        <w:rPr>
          <w:rStyle w:val="21"/>
          <w:rFonts w:hint="eastAsia" w:ascii="宋体" w:hAnsi="宋体"/>
          <w:kern w:val="0"/>
          <w:szCs w:val="21"/>
          <w:highlight w:val="none"/>
        </w:rPr>
        <w:t>_</w:t>
      </w:r>
      <w:r>
        <w:rPr>
          <w:rStyle w:val="21"/>
          <w:rFonts w:ascii="宋体" w:hAnsi="宋体"/>
          <w:kern w:val="0"/>
          <w:szCs w:val="21"/>
          <w:highlight w:val="none"/>
        </w:rPr>
        <w:t>内与你方签订合同。</w:t>
      </w:r>
    </w:p>
    <w:p w14:paraId="270854FB">
      <w:pPr>
        <w:autoSpaceDE w:val="0"/>
        <w:autoSpaceDN w:val="0"/>
        <w:adjustRightInd w:val="0"/>
        <w:spacing w:line="360" w:lineRule="auto"/>
        <w:ind w:firstLine="420" w:firstLineChars="200"/>
        <w:rPr>
          <w:rFonts w:ascii="宋体" w:hAnsi="宋体"/>
          <w:snapToGrid w:val="0"/>
          <w:kern w:val="0"/>
          <w:sz w:val="10"/>
          <w:szCs w:val="10"/>
          <w:highlight w:val="none"/>
        </w:rPr>
      </w:pPr>
      <w:r>
        <w:rPr>
          <w:rFonts w:ascii="宋体" w:hAnsi="宋体"/>
          <w:snapToGrid w:val="0"/>
          <w:kern w:val="0"/>
          <w:szCs w:val="21"/>
          <w:highlight w:val="none"/>
        </w:rPr>
        <w:t>（2）随同本</w:t>
      </w:r>
      <w:r>
        <w:rPr>
          <w:rFonts w:hint="eastAsia" w:ascii="宋体" w:hAnsi="宋体"/>
          <w:snapToGrid w:val="0"/>
          <w:kern w:val="0"/>
          <w:szCs w:val="21"/>
          <w:highlight w:val="none"/>
        </w:rPr>
        <w:t>竞选</w:t>
      </w:r>
      <w:r>
        <w:rPr>
          <w:rFonts w:ascii="宋体" w:hAnsi="宋体"/>
          <w:snapToGrid w:val="0"/>
          <w:kern w:val="0"/>
          <w:szCs w:val="21"/>
          <w:highlight w:val="none"/>
        </w:rPr>
        <w:t>函递交的</w:t>
      </w:r>
      <w:r>
        <w:rPr>
          <w:rFonts w:hint="eastAsia" w:ascii="宋体" w:hAnsi="宋体"/>
          <w:snapToGrid w:val="0"/>
          <w:kern w:val="0"/>
          <w:szCs w:val="21"/>
          <w:highlight w:val="none"/>
        </w:rPr>
        <w:t>竞选</w:t>
      </w:r>
      <w:r>
        <w:rPr>
          <w:rFonts w:ascii="宋体" w:hAnsi="宋体"/>
          <w:snapToGrid w:val="0"/>
          <w:kern w:val="0"/>
          <w:szCs w:val="21"/>
          <w:highlight w:val="none"/>
        </w:rPr>
        <w:t>函附录属于合同文件的组成部分。</w:t>
      </w:r>
    </w:p>
    <w:p w14:paraId="7F394AC4">
      <w:pPr>
        <w:autoSpaceDE w:val="0"/>
        <w:autoSpaceDN w:val="0"/>
        <w:adjustRightInd w:val="0"/>
        <w:spacing w:line="360" w:lineRule="auto"/>
        <w:ind w:firstLine="420" w:firstLineChars="200"/>
        <w:rPr>
          <w:rFonts w:ascii="宋体" w:hAnsi="宋体"/>
          <w:snapToGrid w:val="0"/>
          <w:kern w:val="0"/>
          <w:sz w:val="10"/>
          <w:szCs w:val="10"/>
          <w:highlight w:val="none"/>
        </w:rPr>
      </w:pPr>
      <w:r>
        <w:rPr>
          <w:rFonts w:ascii="宋体" w:hAnsi="宋体"/>
          <w:snapToGrid w:val="0"/>
          <w:kern w:val="0"/>
          <w:szCs w:val="21"/>
          <w:highlight w:val="none"/>
        </w:rPr>
        <w:t>（3）我方承诺按照比选文件规定向你方递交履约担保。</w:t>
      </w:r>
    </w:p>
    <w:p w14:paraId="4B948E32">
      <w:pPr>
        <w:autoSpaceDE w:val="0"/>
        <w:autoSpaceDN w:val="0"/>
        <w:adjustRightInd w:val="0"/>
        <w:spacing w:line="360" w:lineRule="auto"/>
        <w:ind w:firstLine="420" w:firstLineChars="200"/>
        <w:rPr>
          <w:rFonts w:ascii="宋体" w:hAnsi="宋体"/>
          <w:snapToGrid w:val="0"/>
          <w:kern w:val="0"/>
          <w:sz w:val="10"/>
          <w:szCs w:val="10"/>
          <w:highlight w:val="none"/>
        </w:rPr>
      </w:pPr>
      <w:r>
        <w:rPr>
          <w:rFonts w:ascii="宋体" w:hAnsi="宋体"/>
          <w:snapToGrid w:val="0"/>
          <w:kern w:val="0"/>
          <w:szCs w:val="21"/>
          <w:highlight w:val="none"/>
        </w:rPr>
        <w:t>（4）我方承诺在合同约定的期限内完成并移交全部合同</w:t>
      </w:r>
      <w:r>
        <w:rPr>
          <w:rFonts w:hint="eastAsia" w:ascii="宋体" w:hAnsi="宋体"/>
          <w:snapToGrid w:val="0"/>
          <w:kern w:val="0"/>
          <w:szCs w:val="21"/>
          <w:highlight w:val="none"/>
        </w:rPr>
        <w:t>服务</w:t>
      </w:r>
      <w:r>
        <w:rPr>
          <w:rFonts w:ascii="宋体" w:hAnsi="宋体"/>
          <w:snapToGrid w:val="0"/>
          <w:kern w:val="0"/>
          <w:szCs w:val="21"/>
          <w:highlight w:val="none"/>
        </w:rPr>
        <w:t>。</w:t>
      </w:r>
    </w:p>
    <w:p w14:paraId="1878D667">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w:t>
      </w:r>
      <w:r>
        <w:rPr>
          <w:rFonts w:hint="eastAsia" w:ascii="宋体" w:hAnsi="宋体"/>
          <w:snapToGrid w:val="0"/>
          <w:color w:val="auto"/>
          <w:spacing w:val="-2"/>
          <w:kern w:val="0"/>
          <w:szCs w:val="21"/>
          <w:highlight w:val="none"/>
        </w:rPr>
        <w:t>比选</w:t>
      </w:r>
      <w:r>
        <w:rPr>
          <w:rFonts w:ascii="宋体" w:hAnsi="宋体"/>
          <w:snapToGrid w:val="0"/>
          <w:color w:val="auto"/>
          <w:spacing w:val="-2"/>
          <w:kern w:val="0"/>
          <w:szCs w:val="21"/>
          <w:highlight w:val="none"/>
        </w:rPr>
        <w:t>文件及有关资料内容完整、真实和准确</w:t>
      </w:r>
      <w:r>
        <w:rPr>
          <w:rFonts w:ascii="宋体" w:hAnsi="宋体"/>
          <w:snapToGrid w:val="0"/>
          <w:color w:val="auto"/>
          <w:kern w:val="0"/>
          <w:szCs w:val="21"/>
          <w:highlight w:val="none"/>
        </w:rPr>
        <w:t>。同时我方承诺接受</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文件及附件、澄清及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18710267">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（其他补充说明）。</w:t>
      </w:r>
    </w:p>
    <w:p w14:paraId="7B9C940C">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14:paraId="07256D88">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14:paraId="5163B3D1">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14:paraId="24EA4446">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14:paraId="0B07866C">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14:paraId="438751ED">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14:paraId="425E32CF">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rPr>
        <w:t>选</w:t>
      </w:r>
      <w:r>
        <w:rPr>
          <w:rFonts w:ascii="宋体" w:hAnsi="宋体"/>
          <w:snapToGrid w:val="0"/>
          <w:color w:val="auto"/>
          <w:kern w:val="0"/>
          <w:szCs w:val="21"/>
          <w:highlight w:val="none"/>
        </w:rPr>
        <w:t xml:space="preserve">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7EC33D84">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lang w:val="en-US" w:eastAsia="zh-CN"/>
        </w:rPr>
        <w:t>和</w:t>
      </w:r>
      <w:r>
        <w:rPr>
          <w:rFonts w:hint="eastAsia" w:ascii="宋体" w:hAnsi="宋体"/>
          <w:snapToGrid w:val="0"/>
          <w:color w:val="auto"/>
          <w:kern w:val="0"/>
          <w:szCs w:val="21"/>
          <w:highlight w:val="none"/>
        </w:rPr>
        <w:t>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（签字或盖章）</w:t>
      </w:r>
    </w:p>
    <w:p w14:paraId="694DF672">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46DB15D4">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电话：</w:t>
      </w:r>
      <w:r>
        <w:rPr>
          <w:rFonts w:hint="eastAsia" w:ascii="宋体" w:hAnsi="宋体"/>
          <w:snapToGrid w:val="0"/>
          <w:color w:val="auto"/>
          <w:kern w:val="0"/>
          <w:szCs w:val="21"/>
          <w:highlight w:val="none"/>
          <w:u w:val="single"/>
        </w:rPr>
        <w:t xml:space="preserve">                      </w:t>
      </w:r>
    </w:p>
    <w:p w14:paraId="1AABC4D9">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u w:val="single"/>
        </w:rPr>
      </w:pPr>
    </w:p>
    <w:p w14:paraId="01D9E9F6">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u w:val="single"/>
        </w:rPr>
      </w:pPr>
    </w:p>
    <w:p w14:paraId="7D6B95AE">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33FA47DA">
      <w:pPr>
        <w:pStyle w:val="2"/>
        <w:rPr>
          <w:color w:val="auto"/>
          <w:highlight w:val="none"/>
        </w:rPr>
      </w:pPr>
    </w:p>
    <w:p w14:paraId="42495DB1">
      <w:pPr>
        <w:pStyle w:val="3"/>
        <w:rPr>
          <w:color w:val="auto"/>
          <w:highlight w:val="none"/>
        </w:rPr>
      </w:pPr>
    </w:p>
    <w:p w14:paraId="1BE888C7">
      <w:pPr>
        <w:rPr>
          <w:color w:val="auto"/>
          <w:highlight w:val="none"/>
        </w:rPr>
      </w:pPr>
    </w:p>
    <w:p w14:paraId="208A2A20">
      <w:pPr>
        <w:pStyle w:val="2"/>
        <w:rPr>
          <w:color w:val="auto"/>
          <w:highlight w:val="none"/>
        </w:rPr>
      </w:pPr>
    </w:p>
    <w:p w14:paraId="65C17CF7">
      <w:pPr>
        <w:rPr>
          <w:color w:val="auto"/>
          <w:highlight w:val="none"/>
        </w:rPr>
        <w:sectPr>
          <w:footerReference r:id="rId14" w:type="first"/>
          <w:headerReference r:id="rId12" w:type="default"/>
          <w:footerReference r:id="rId13"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0D29D285">
      <w:pPr>
        <w:pStyle w:val="2"/>
        <w:rPr>
          <w:color w:val="auto"/>
          <w:highlight w:val="none"/>
        </w:rPr>
      </w:pPr>
    </w:p>
    <w:p w14:paraId="19888495">
      <w:pPr>
        <w:spacing w:after="260"/>
        <w:jc w:val="center"/>
        <w:outlineLvl w:val="2"/>
        <w:rPr>
          <w:rFonts w:ascii="宋体" w:hAnsi="宋体"/>
          <w:snapToGrid w:val="0"/>
          <w:color w:val="auto"/>
          <w:kern w:val="0"/>
          <w:szCs w:val="21"/>
          <w:highlight w:val="none"/>
        </w:rPr>
      </w:pPr>
      <w:r>
        <w:rPr>
          <w:rFonts w:hint="eastAsia" w:ascii="宋体" w:hAnsi="宋体"/>
          <w:b/>
          <w:bCs/>
          <w:snapToGrid w:val="0"/>
          <w:color w:val="auto"/>
          <w:sz w:val="32"/>
          <w:szCs w:val="40"/>
          <w:highlight w:val="none"/>
        </w:rPr>
        <w:t>2.</w:t>
      </w:r>
      <w:r>
        <w:rPr>
          <w:rFonts w:ascii="宋体" w:hAnsi="宋体"/>
          <w:b/>
          <w:bCs/>
          <w:color w:val="auto"/>
          <w:sz w:val="32"/>
          <w:szCs w:val="40"/>
          <w:highlight w:val="none"/>
        </w:rPr>
        <w:t>法定代表人身份证明及授权委托书</w:t>
      </w:r>
      <w:bookmarkEnd w:id="42"/>
      <w:bookmarkEnd w:id="43"/>
    </w:p>
    <w:p w14:paraId="53819D59">
      <w:pPr>
        <w:spacing w:line="480" w:lineRule="auto"/>
        <w:jc w:val="center"/>
        <w:rPr>
          <w:rFonts w:hint="eastAsia" w:ascii="宋体" w:hAnsi="宋体"/>
          <w:color w:val="auto"/>
          <w:sz w:val="28"/>
          <w:highlight w:val="none"/>
        </w:rPr>
      </w:pPr>
      <w:r>
        <w:rPr>
          <w:rFonts w:hint="eastAsia" w:ascii="宋体" w:hAnsi="宋体"/>
          <w:color w:val="auto"/>
          <w:sz w:val="28"/>
          <w:highlight w:val="none"/>
        </w:rPr>
        <w:t>法定代表人身份证明</w:t>
      </w:r>
    </w:p>
    <w:p w14:paraId="480BF8DF">
      <w:pPr>
        <w:spacing w:line="480" w:lineRule="auto"/>
        <w:jc w:val="center"/>
        <w:rPr>
          <w:rFonts w:ascii="宋体" w:hAnsi="宋体"/>
          <w:color w:val="auto"/>
          <w:highlight w:val="none"/>
        </w:rPr>
      </w:pPr>
    </w:p>
    <w:p w14:paraId="1BABE038">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F3AD80C">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93F1032">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ACD0194">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5F078B6E">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D37C591">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09A51A09">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竞选人</w:t>
      </w:r>
      <w:r>
        <w:rPr>
          <w:rFonts w:ascii="宋体" w:hAnsi="宋体"/>
          <w:color w:val="auto"/>
          <w:kern w:val="0"/>
          <w:szCs w:val="21"/>
          <w:highlight w:val="none"/>
        </w:rPr>
        <w:t>名称）的法定代表人。</w:t>
      </w:r>
    </w:p>
    <w:p w14:paraId="2C0935A1">
      <w:pPr>
        <w:autoSpaceDE w:val="0"/>
        <w:autoSpaceDN w:val="0"/>
        <w:adjustRightInd w:val="0"/>
        <w:snapToGrid w:val="0"/>
        <w:spacing w:line="480" w:lineRule="auto"/>
        <w:ind w:firstLine="186" w:firstLineChars="186"/>
        <w:jc w:val="left"/>
        <w:rPr>
          <w:rFonts w:ascii="宋体" w:hAnsi="宋体"/>
          <w:color w:val="auto"/>
          <w:kern w:val="0"/>
          <w:sz w:val="10"/>
          <w:szCs w:val="10"/>
          <w:highlight w:val="none"/>
        </w:rPr>
      </w:pPr>
    </w:p>
    <w:p w14:paraId="2B639FE8">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ascii="宋体" w:hAnsi="宋体"/>
          <w:color w:val="auto"/>
          <w:kern w:val="0"/>
          <w:szCs w:val="21"/>
          <w:highlight w:val="none"/>
        </w:rPr>
        <w:t>特此证明。</w:t>
      </w:r>
    </w:p>
    <w:tbl>
      <w:tblPr>
        <w:tblStyle w:val="14"/>
        <w:tblpPr w:leftFromText="180" w:rightFromText="180" w:vertAnchor="text" w:horzAnchor="margin" w:tblpXSpec="center" w:tblpY="81"/>
        <w:tblW w:w="0" w:type="auto"/>
        <w:jc w:val="center"/>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5243"/>
      </w:tblGrid>
      <w:tr w14:paraId="5B14716E">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jc w:val="center"/>
        </w:trPr>
        <w:tc>
          <w:tcPr>
            <w:tcW w:w="5243" w:type="dxa"/>
            <w:noWrap w:val="0"/>
            <w:vAlign w:val="top"/>
          </w:tcPr>
          <w:p w14:paraId="568A4E73">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法定代表人身份证复印件双面</w:t>
            </w:r>
          </w:p>
          <w:p w14:paraId="527BF1E1">
            <w:pPr>
              <w:spacing w:line="360" w:lineRule="auto"/>
              <w:jc w:val="center"/>
              <w:rPr>
                <w:rFonts w:hint="eastAsia" w:ascii="宋体" w:hAnsi="宋体" w:cs="宋体"/>
                <w:b/>
                <w:color w:val="auto"/>
                <w:szCs w:val="21"/>
                <w:highlight w:val="none"/>
              </w:rPr>
            </w:pPr>
          </w:p>
        </w:tc>
      </w:tr>
    </w:tbl>
    <w:p w14:paraId="75FF27BE">
      <w:pPr>
        <w:autoSpaceDE w:val="0"/>
        <w:autoSpaceDN w:val="0"/>
        <w:adjustRightInd w:val="0"/>
        <w:snapToGrid w:val="0"/>
        <w:spacing w:line="480" w:lineRule="auto"/>
        <w:ind w:firstLine="810" w:firstLineChars="386"/>
        <w:jc w:val="center"/>
        <w:rPr>
          <w:rFonts w:hint="eastAsia" w:ascii="宋体" w:hAnsi="宋体"/>
          <w:color w:val="auto"/>
          <w:kern w:val="0"/>
          <w:szCs w:val="21"/>
          <w:highlight w:val="none"/>
        </w:rPr>
      </w:pPr>
    </w:p>
    <w:p w14:paraId="2616365B">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p>
    <w:p w14:paraId="068C5AA3">
      <w:pPr>
        <w:autoSpaceDE w:val="0"/>
        <w:autoSpaceDN w:val="0"/>
        <w:adjustRightInd w:val="0"/>
        <w:snapToGrid w:val="0"/>
        <w:spacing w:line="480" w:lineRule="auto"/>
        <w:ind w:firstLine="772" w:firstLineChars="386"/>
        <w:jc w:val="left"/>
        <w:rPr>
          <w:rFonts w:hint="eastAsia" w:ascii="宋体" w:hAnsi="宋体"/>
          <w:color w:val="auto"/>
          <w:kern w:val="0"/>
          <w:sz w:val="20"/>
          <w:szCs w:val="20"/>
          <w:highlight w:val="none"/>
        </w:rPr>
      </w:pPr>
    </w:p>
    <w:p w14:paraId="512EE571">
      <w:pPr>
        <w:autoSpaceDE w:val="0"/>
        <w:autoSpaceDN w:val="0"/>
        <w:adjustRightInd w:val="0"/>
        <w:snapToGrid w:val="0"/>
        <w:spacing w:line="480" w:lineRule="auto"/>
        <w:jc w:val="left"/>
        <w:rPr>
          <w:rFonts w:ascii="宋体" w:hAnsi="宋体"/>
          <w:color w:val="auto"/>
          <w:kern w:val="0"/>
          <w:sz w:val="20"/>
          <w:szCs w:val="20"/>
          <w:highlight w:val="none"/>
        </w:rPr>
      </w:pPr>
    </w:p>
    <w:p w14:paraId="33C34BB2">
      <w:pPr>
        <w:tabs>
          <w:tab w:val="left" w:pos="5460"/>
        </w:tabs>
        <w:autoSpaceDE w:val="0"/>
        <w:autoSpaceDN w:val="0"/>
        <w:adjustRightInd w:val="0"/>
        <w:snapToGrid w:val="0"/>
        <w:spacing w:line="480" w:lineRule="auto"/>
        <w:ind w:firstLine="2100"/>
        <w:jc w:val="right"/>
        <w:rPr>
          <w:rFonts w:hint="eastAsia" w:ascii="宋体" w:hAnsi="宋体"/>
          <w:color w:val="auto"/>
          <w:kern w:val="0"/>
          <w:szCs w:val="21"/>
          <w:highlight w:val="none"/>
        </w:rPr>
      </w:pPr>
    </w:p>
    <w:p w14:paraId="577157AA">
      <w:pPr>
        <w:tabs>
          <w:tab w:val="left" w:pos="5460"/>
        </w:tabs>
        <w:autoSpaceDE w:val="0"/>
        <w:autoSpaceDN w:val="0"/>
        <w:adjustRightInd w:val="0"/>
        <w:snapToGrid w:val="0"/>
        <w:spacing w:line="480" w:lineRule="auto"/>
        <w:ind w:firstLine="2100"/>
        <w:jc w:val="righ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w:t>
      </w:r>
      <w:r>
        <w:rPr>
          <w:rFonts w:hint="eastAsia" w:ascii="宋体" w:hAnsi="宋体"/>
          <w:color w:val="auto"/>
          <w:kern w:val="0"/>
          <w:szCs w:val="21"/>
          <w:highlight w:val="none"/>
        </w:rPr>
        <w:t>公</w:t>
      </w:r>
      <w:r>
        <w:rPr>
          <w:rFonts w:ascii="宋体" w:hAnsi="宋体"/>
          <w:color w:val="auto"/>
          <w:kern w:val="0"/>
          <w:szCs w:val="21"/>
          <w:highlight w:val="none"/>
        </w:rPr>
        <w:t>章）</w:t>
      </w:r>
    </w:p>
    <w:p w14:paraId="527D46B4">
      <w:pPr>
        <w:autoSpaceDE w:val="0"/>
        <w:autoSpaceDN w:val="0"/>
        <w:adjustRightInd w:val="0"/>
        <w:snapToGrid w:val="0"/>
        <w:spacing w:line="480" w:lineRule="auto"/>
        <w:jc w:val="left"/>
        <w:rPr>
          <w:rFonts w:ascii="宋体" w:hAnsi="宋体"/>
          <w:color w:val="auto"/>
          <w:kern w:val="0"/>
          <w:sz w:val="20"/>
          <w:szCs w:val="20"/>
          <w:highlight w:val="none"/>
        </w:rPr>
      </w:pPr>
    </w:p>
    <w:p w14:paraId="5EA636C9">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120414D8">
      <w:pPr>
        <w:autoSpaceDE w:val="0"/>
        <w:autoSpaceDN w:val="0"/>
        <w:adjustRightInd w:val="0"/>
        <w:snapToGrid w:val="0"/>
        <w:spacing w:line="360" w:lineRule="auto"/>
        <w:jc w:val="left"/>
        <w:rPr>
          <w:rFonts w:ascii="宋体" w:hAnsi="宋体"/>
          <w:color w:val="auto"/>
          <w:kern w:val="0"/>
          <w:highlight w:val="none"/>
        </w:rPr>
      </w:pPr>
    </w:p>
    <w:p w14:paraId="1926A49E">
      <w:pPr>
        <w:autoSpaceDE w:val="0"/>
        <w:autoSpaceDN w:val="0"/>
        <w:adjustRightInd w:val="0"/>
        <w:snapToGrid w:val="0"/>
        <w:spacing w:line="360" w:lineRule="auto"/>
        <w:jc w:val="left"/>
        <w:rPr>
          <w:rFonts w:ascii="宋体" w:hAnsi="宋体"/>
          <w:color w:val="auto"/>
          <w:kern w:val="0"/>
          <w:highlight w:val="none"/>
        </w:rPr>
      </w:pPr>
    </w:p>
    <w:p w14:paraId="316A4B64">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2A62C5DC">
      <w:pPr>
        <w:autoSpaceDE w:val="0"/>
        <w:autoSpaceDN w:val="0"/>
        <w:adjustRightInd w:val="0"/>
        <w:snapToGrid w:val="0"/>
        <w:spacing w:line="360" w:lineRule="auto"/>
        <w:jc w:val="left"/>
        <w:rPr>
          <w:rFonts w:ascii="宋体" w:hAnsi="宋体"/>
          <w:color w:val="auto"/>
          <w:kern w:val="0"/>
          <w:highlight w:val="none"/>
        </w:rPr>
      </w:pPr>
    </w:p>
    <w:p w14:paraId="2C37E2AF">
      <w:pPr>
        <w:autoSpaceDE w:val="0"/>
        <w:autoSpaceDN w:val="0"/>
        <w:adjustRightInd w:val="0"/>
        <w:snapToGrid w:val="0"/>
        <w:spacing w:line="360" w:lineRule="auto"/>
        <w:jc w:val="left"/>
        <w:rPr>
          <w:rFonts w:ascii="宋体" w:hAnsi="宋体"/>
          <w:color w:val="auto"/>
          <w:kern w:val="0"/>
          <w:highlight w:val="none"/>
        </w:rPr>
      </w:pPr>
    </w:p>
    <w:p w14:paraId="50329CB3">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12"/>
          <w:szCs w:val="12"/>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1265EF6A">
      <w:pPr>
        <w:autoSpaceDE w:val="0"/>
        <w:autoSpaceDN w:val="0"/>
        <w:adjustRightInd w:val="0"/>
        <w:snapToGrid w:val="0"/>
        <w:spacing w:line="360" w:lineRule="auto"/>
        <w:jc w:val="left"/>
        <w:rPr>
          <w:rFonts w:ascii="宋体" w:hAnsi="宋体"/>
          <w:color w:val="auto"/>
          <w:kern w:val="0"/>
          <w:sz w:val="20"/>
          <w:szCs w:val="20"/>
          <w:highlight w:val="none"/>
        </w:rPr>
      </w:pPr>
    </w:p>
    <w:p w14:paraId="7088CA5C">
      <w:pPr>
        <w:autoSpaceDE w:val="0"/>
        <w:autoSpaceDN w:val="0"/>
        <w:adjustRightInd w:val="0"/>
        <w:snapToGrid w:val="0"/>
        <w:spacing w:line="360" w:lineRule="auto"/>
        <w:jc w:val="left"/>
        <w:rPr>
          <w:rFonts w:ascii="宋体" w:hAnsi="宋体"/>
          <w:color w:val="auto"/>
          <w:kern w:val="0"/>
          <w:sz w:val="20"/>
          <w:szCs w:val="20"/>
          <w:highlight w:val="none"/>
        </w:rPr>
      </w:pPr>
    </w:p>
    <w:p w14:paraId="1E050DAA">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本人</w:t>
      </w:r>
      <w:r>
        <w:rPr>
          <w:rFonts w:ascii="宋体" w:hAnsi="宋体"/>
          <w:color w:val="auto"/>
          <w:w w:val="200"/>
          <w:kern w:val="0"/>
          <w:szCs w:val="21"/>
          <w:highlight w:val="none"/>
          <w:u w:val="single"/>
        </w:rPr>
        <w:t xml:space="preserve">   </w:t>
      </w:r>
      <w:r>
        <w:rPr>
          <w:rFonts w:ascii="宋体" w:hAnsi="宋体"/>
          <w:color w:val="auto"/>
          <w:kern w:val="0"/>
          <w:szCs w:val="21"/>
          <w:highlight w:val="none"/>
        </w:rPr>
        <w:t>（姓名）系</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竞选人</w:t>
      </w:r>
      <w:r>
        <w:rPr>
          <w:rFonts w:ascii="宋体" w:hAnsi="宋体"/>
          <w:color w:val="auto"/>
          <w:kern w:val="0"/>
          <w:szCs w:val="21"/>
          <w:highlight w:val="none"/>
        </w:rPr>
        <w:t>名称</w:t>
      </w:r>
      <w:r>
        <w:rPr>
          <w:rFonts w:ascii="宋体" w:hAnsi="宋体"/>
          <w:color w:val="auto"/>
          <w:spacing w:val="1"/>
          <w:kern w:val="0"/>
          <w:szCs w:val="21"/>
          <w:highlight w:val="non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ascii="宋体" w:hAnsi="宋体"/>
          <w:color w:val="auto"/>
          <w:w w:val="200"/>
          <w:kern w:val="0"/>
          <w:szCs w:val="21"/>
          <w:highlight w:val="none"/>
          <w:u w:val="single"/>
        </w:rPr>
        <w:t xml:space="preserve">    </w:t>
      </w:r>
      <w:r>
        <w:rPr>
          <w:rFonts w:ascii="宋体" w:hAnsi="宋体"/>
          <w:color w:val="auto"/>
          <w:kern w:val="0"/>
          <w:szCs w:val="21"/>
          <w:highlight w:val="none"/>
        </w:rPr>
        <w:t>（姓名）为我方代理人。代理人根据授权，以我方名义签署、递交、撤回、修改</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（项</w:t>
      </w:r>
      <w:r>
        <w:rPr>
          <w:rFonts w:ascii="宋体" w:hAnsi="宋体"/>
          <w:color w:val="auto"/>
          <w:spacing w:val="-1"/>
          <w:kern w:val="0"/>
          <w:szCs w:val="21"/>
          <w:highlight w:val="none"/>
        </w:rPr>
        <w:t>目</w:t>
      </w:r>
      <w:r>
        <w:rPr>
          <w:rFonts w:ascii="宋体" w:hAnsi="宋体"/>
          <w:color w:val="auto"/>
          <w:kern w:val="0"/>
          <w:szCs w:val="21"/>
          <w:highlight w:val="none"/>
        </w:rPr>
        <w:t>名称）</w:t>
      </w:r>
      <w:r>
        <w:rPr>
          <w:rFonts w:hint="eastAsia" w:ascii="宋体" w:hAnsi="宋体"/>
          <w:color w:val="auto"/>
          <w:kern w:val="0"/>
          <w:szCs w:val="21"/>
          <w:highlight w:val="none"/>
        </w:rPr>
        <w:t>竞选文件</w:t>
      </w:r>
      <w:r>
        <w:rPr>
          <w:rFonts w:ascii="宋体" w:hAnsi="宋体"/>
          <w:color w:val="auto"/>
          <w:kern w:val="0"/>
          <w:szCs w:val="21"/>
          <w:highlight w:val="none"/>
        </w:rPr>
        <w:t>、</w:t>
      </w:r>
      <w:r>
        <w:rPr>
          <w:rFonts w:hint="eastAsia" w:ascii="宋体" w:hAnsi="宋体"/>
          <w:color w:val="auto"/>
          <w:kern w:val="0"/>
          <w:szCs w:val="21"/>
          <w:highlight w:val="none"/>
        </w:rPr>
        <w:t>领取原件、</w:t>
      </w:r>
      <w:r>
        <w:rPr>
          <w:rFonts w:ascii="宋体" w:hAnsi="宋体"/>
          <w:color w:val="auto"/>
          <w:kern w:val="0"/>
          <w:szCs w:val="21"/>
          <w:highlight w:val="none"/>
        </w:rPr>
        <w:t>签订合同和处理有关事宜， 其法律后果由我方承担。</w:t>
      </w:r>
    </w:p>
    <w:p w14:paraId="3CD92E2B">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 xml:space="preserve">。 </w:t>
      </w:r>
    </w:p>
    <w:p w14:paraId="147F9033">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highlight w:val="none"/>
        </w:rPr>
      </w:pPr>
      <w:r>
        <w:rPr>
          <w:rFonts w:ascii="宋体" w:hAnsi="宋体"/>
          <w:color w:val="auto"/>
          <w:kern w:val="0"/>
          <w:szCs w:val="21"/>
          <w:highlight w:val="none"/>
        </w:rPr>
        <w:t>代理人无转委托权。</w:t>
      </w:r>
    </w:p>
    <w:p w14:paraId="31CC483B">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14:paraId="0885F2FE">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（签字或盖章）</w:t>
      </w:r>
    </w:p>
    <w:p w14:paraId="7D0FDFE5">
      <w:pPr>
        <w:tabs>
          <w:tab w:val="left" w:pos="5260"/>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025C3445">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（签</w:t>
      </w:r>
      <w:r>
        <w:rPr>
          <w:rFonts w:ascii="宋体" w:hAnsi="宋体"/>
          <w:color w:val="auto"/>
          <w:spacing w:val="-1"/>
          <w:kern w:val="0"/>
          <w:szCs w:val="21"/>
          <w:highlight w:val="none"/>
        </w:rPr>
        <w:t>字</w:t>
      </w:r>
      <w:r>
        <w:rPr>
          <w:rFonts w:ascii="宋体" w:hAnsi="宋体"/>
          <w:color w:val="auto"/>
          <w:kern w:val="0"/>
          <w:szCs w:val="21"/>
          <w:highlight w:val="none"/>
        </w:rPr>
        <w:t>）</w:t>
      </w:r>
    </w:p>
    <w:p w14:paraId="4A6FD260">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p>
    <w:p w14:paraId="052647F1">
      <w:pPr>
        <w:autoSpaceDE w:val="0"/>
        <w:autoSpaceDN w:val="0"/>
        <w:adjustRightInd w:val="0"/>
        <w:snapToGrid w:val="0"/>
        <w:spacing w:line="480" w:lineRule="auto"/>
        <w:jc w:val="left"/>
        <w:rPr>
          <w:rFonts w:hint="eastAsia" w:ascii="宋体" w:hAnsi="宋体"/>
          <w:color w:val="auto"/>
          <w:kern w:val="0"/>
          <w:sz w:val="20"/>
          <w:szCs w:val="20"/>
          <w:highlight w:val="none"/>
        </w:rPr>
      </w:pPr>
    </w:p>
    <w:tbl>
      <w:tblPr>
        <w:tblStyle w:val="14"/>
        <w:tblpPr w:leftFromText="180" w:rightFromText="180" w:vertAnchor="text" w:horzAnchor="margin" w:tblpY="81"/>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815"/>
      </w:tblGrid>
      <w:tr w14:paraId="72C823CF">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trPr>
        <w:tc>
          <w:tcPr>
            <w:tcW w:w="3815" w:type="dxa"/>
            <w:noWrap w:val="0"/>
            <w:vAlign w:val="top"/>
          </w:tcPr>
          <w:p w14:paraId="3C6B5F86">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法定代表人身份证复印件双面</w:t>
            </w:r>
          </w:p>
          <w:p w14:paraId="147E7137">
            <w:pPr>
              <w:spacing w:line="360" w:lineRule="auto"/>
              <w:jc w:val="center"/>
              <w:rPr>
                <w:rFonts w:hint="eastAsia" w:ascii="宋体" w:hAnsi="宋体" w:cs="宋体"/>
                <w:b/>
                <w:color w:val="auto"/>
                <w:szCs w:val="21"/>
                <w:highlight w:val="none"/>
              </w:rPr>
            </w:pPr>
          </w:p>
        </w:tc>
      </w:tr>
    </w:tbl>
    <w:tbl>
      <w:tblPr>
        <w:tblStyle w:val="14"/>
        <w:tblpPr w:leftFromText="180" w:rightFromText="180" w:vertAnchor="text" w:horzAnchor="page" w:tblpX="6047" w:tblpY="114"/>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80"/>
      </w:tblGrid>
      <w:tr w14:paraId="070044C6">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27" w:hRule="atLeast"/>
        </w:trPr>
        <w:tc>
          <w:tcPr>
            <w:tcW w:w="3980" w:type="dxa"/>
            <w:noWrap w:val="0"/>
            <w:vAlign w:val="top"/>
          </w:tcPr>
          <w:p w14:paraId="3B852501">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委托代理人身份证复印件双面</w:t>
            </w:r>
          </w:p>
          <w:p w14:paraId="6F400836">
            <w:pPr>
              <w:spacing w:line="360" w:lineRule="auto"/>
              <w:jc w:val="center"/>
              <w:rPr>
                <w:rFonts w:hint="eastAsia" w:ascii="宋体" w:hAnsi="宋体" w:cs="宋体"/>
                <w:b/>
                <w:color w:val="auto"/>
                <w:szCs w:val="21"/>
                <w:highlight w:val="none"/>
              </w:rPr>
            </w:pPr>
          </w:p>
        </w:tc>
      </w:tr>
    </w:tbl>
    <w:p w14:paraId="07C56495">
      <w:pPr>
        <w:autoSpaceDE w:val="0"/>
        <w:autoSpaceDN w:val="0"/>
        <w:adjustRightInd w:val="0"/>
        <w:snapToGrid w:val="0"/>
        <w:spacing w:line="480" w:lineRule="auto"/>
        <w:jc w:val="left"/>
        <w:rPr>
          <w:rFonts w:hint="eastAsia" w:ascii="宋体" w:hAnsi="宋体"/>
          <w:color w:val="auto"/>
          <w:kern w:val="0"/>
          <w:sz w:val="20"/>
          <w:szCs w:val="20"/>
          <w:highlight w:val="none"/>
        </w:rPr>
      </w:pPr>
    </w:p>
    <w:p w14:paraId="2212AD2F">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7E2BAB8D">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625BE90F">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0EF2AA93">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029D28B3">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46584AF0">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1B068EA3">
      <w:pPr>
        <w:tabs>
          <w:tab w:val="left" w:pos="5760"/>
        </w:tabs>
        <w:autoSpaceDE w:val="0"/>
        <w:autoSpaceDN w:val="0"/>
        <w:adjustRightInd w:val="0"/>
        <w:spacing w:line="360" w:lineRule="auto"/>
        <w:ind w:firstLine="420" w:firstLineChars="200"/>
        <w:rPr>
          <w:rFonts w:hint="eastAsia" w:ascii="宋体" w:hAnsi="宋体"/>
          <w:color w:val="auto"/>
          <w:kern w:val="0"/>
          <w:highlight w:val="none"/>
        </w:rPr>
      </w:pPr>
    </w:p>
    <w:p w14:paraId="25C9496A">
      <w:pPr>
        <w:spacing w:line="360" w:lineRule="auto"/>
        <w:ind w:firstLine="422" w:firstLineChars="200"/>
        <w:rPr>
          <w:rFonts w:ascii="宋体" w:hAnsi="宋体"/>
          <w:color w:val="auto"/>
          <w:highlight w:val="none"/>
        </w:rPr>
      </w:pPr>
      <w:r>
        <w:rPr>
          <w:rFonts w:hint="eastAsia" w:ascii="宋体" w:hAnsi="宋体" w:cs="宋体"/>
          <w:b/>
          <w:bCs/>
          <w:color w:val="auto"/>
          <w:kern w:val="0"/>
          <w:szCs w:val="21"/>
          <w:highlight w:val="none"/>
        </w:rPr>
        <w:t>注：法定代表人身份证明及授权委托书须另外准备一份原件，随竞选文件一并递交</w:t>
      </w:r>
      <w:r>
        <w:rPr>
          <w:rFonts w:ascii="宋体" w:hAnsi="宋体"/>
          <w:color w:val="auto"/>
          <w:highlight w:val="none"/>
        </w:rPr>
        <w:t>。</w:t>
      </w:r>
    </w:p>
    <w:p w14:paraId="3E6EDFEC">
      <w:pPr>
        <w:rPr>
          <w:rFonts w:hint="eastAsia"/>
          <w:color w:val="auto"/>
          <w:sz w:val="36"/>
          <w:szCs w:val="44"/>
          <w:highlight w:val="none"/>
        </w:rPr>
      </w:pPr>
      <w:bookmarkStart w:id="44" w:name="_Toc16263"/>
      <w:bookmarkStart w:id="45" w:name="_Toc32678"/>
      <w:bookmarkStart w:id="46" w:name="_Toc14443"/>
      <w:bookmarkStart w:id="47" w:name="_Toc287620829"/>
      <w:bookmarkStart w:id="48" w:name="_Toc277082656"/>
      <w:bookmarkStart w:id="49" w:name="_Toc430530545"/>
      <w:bookmarkStart w:id="50" w:name="_Toc42269745"/>
      <w:bookmarkStart w:id="51" w:name="_Toc224103510"/>
      <w:bookmarkStart w:id="52" w:name="_Toc287607882"/>
    </w:p>
    <w:p w14:paraId="49A51CF4">
      <w:pPr>
        <w:jc w:val="center"/>
        <w:outlineLvl w:val="1"/>
        <w:rPr>
          <w:rFonts w:hint="eastAsia"/>
          <w:color w:val="auto"/>
          <w:sz w:val="36"/>
          <w:szCs w:val="44"/>
          <w:highlight w:val="none"/>
        </w:rPr>
      </w:pPr>
    </w:p>
    <w:p w14:paraId="75E746ED">
      <w:pPr>
        <w:jc w:val="center"/>
        <w:outlineLvl w:val="1"/>
        <w:rPr>
          <w:rFonts w:hint="eastAsia"/>
          <w:color w:val="auto"/>
          <w:sz w:val="36"/>
          <w:szCs w:val="44"/>
          <w:highlight w:val="none"/>
        </w:rPr>
      </w:pPr>
    </w:p>
    <w:p w14:paraId="290BF453">
      <w:pPr>
        <w:keepNext w:val="0"/>
        <w:keepLines w:val="0"/>
        <w:pageBreakBefore/>
        <w:widowControl w:val="0"/>
        <w:kinsoku/>
        <w:wordWrap/>
        <w:overflowPunct/>
        <w:topLinePunct w:val="0"/>
        <w:autoSpaceDE/>
        <w:autoSpaceDN/>
        <w:bidi w:val="0"/>
        <w:adjustRightInd/>
        <w:snapToGrid/>
        <w:spacing w:after="260"/>
        <w:jc w:val="center"/>
        <w:textAlignment w:val="auto"/>
        <w:outlineLvl w:val="2"/>
        <w:rPr>
          <w:rFonts w:hint="eastAsia" w:ascii="宋体" w:hAnsi="宋体" w:eastAsia="宋体" w:cs="Times New Roman"/>
          <w:b/>
          <w:bCs/>
          <w:snapToGrid w:val="0"/>
          <w:color w:val="auto"/>
          <w:sz w:val="32"/>
          <w:szCs w:val="40"/>
          <w:highlight w:val="none"/>
        </w:rPr>
      </w:pPr>
      <w:r>
        <w:rPr>
          <w:rFonts w:hint="eastAsia" w:ascii="宋体" w:hAnsi="宋体" w:eastAsia="宋体" w:cs="Times New Roman"/>
          <w:b/>
          <w:bCs/>
          <w:snapToGrid w:val="0"/>
          <w:color w:val="auto"/>
          <w:sz w:val="32"/>
          <w:szCs w:val="40"/>
          <w:highlight w:val="none"/>
        </w:rPr>
        <w:t>3.银行开户证明</w:t>
      </w:r>
    </w:p>
    <w:p w14:paraId="5A5B7996">
      <w:pPr>
        <w:keepNext w:val="0"/>
        <w:keepLines w:val="0"/>
        <w:pageBreakBefore/>
        <w:widowControl w:val="0"/>
        <w:kinsoku/>
        <w:wordWrap/>
        <w:overflowPunct/>
        <w:topLinePunct w:val="0"/>
        <w:autoSpaceDE/>
        <w:autoSpaceDN/>
        <w:bidi w:val="0"/>
        <w:adjustRightInd/>
        <w:snapToGrid/>
        <w:jc w:val="center"/>
        <w:textAlignment w:val="auto"/>
        <w:outlineLvl w:val="1"/>
        <w:rPr>
          <w:rFonts w:hint="eastAsia"/>
          <w:color w:val="auto"/>
          <w:highlight w:val="none"/>
        </w:rPr>
      </w:pPr>
      <w:r>
        <w:rPr>
          <w:rFonts w:hint="eastAsia"/>
          <w:color w:val="auto"/>
          <w:sz w:val="36"/>
          <w:szCs w:val="44"/>
          <w:highlight w:val="none"/>
          <w:lang w:val="en-US" w:eastAsia="zh-CN"/>
        </w:rPr>
        <w:t>三</w:t>
      </w:r>
      <w:r>
        <w:rPr>
          <w:rFonts w:hint="eastAsia"/>
          <w:color w:val="auto"/>
          <w:sz w:val="36"/>
          <w:szCs w:val="44"/>
          <w:highlight w:val="none"/>
        </w:rPr>
        <w:t>、资格审查部分</w:t>
      </w:r>
      <w:r>
        <w:rPr>
          <w:rFonts w:hint="eastAsia"/>
          <w:color w:val="auto"/>
          <w:highlight w:val="none"/>
        </w:rPr>
        <w:br w:type="page"/>
      </w:r>
    </w:p>
    <w:p w14:paraId="787D725E">
      <w:pPr>
        <w:spacing w:line="360" w:lineRule="auto"/>
        <w:jc w:val="center"/>
        <w:rPr>
          <w:rFonts w:hint="eastAsia" w:ascii="宋体" w:hAnsi="宋体"/>
          <w:color w:val="auto"/>
          <w:kern w:val="0"/>
          <w:sz w:val="32"/>
          <w:szCs w:val="32"/>
          <w:highlight w:val="none"/>
        </w:rPr>
      </w:pPr>
      <w:r>
        <w:rPr>
          <w:rFonts w:hint="eastAsia" w:ascii="宋体" w:hAnsi="宋体"/>
          <w:color w:val="auto"/>
          <w:kern w:val="0"/>
          <w:sz w:val="32"/>
          <w:szCs w:val="32"/>
          <w:highlight w:val="none"/>
          <w:u w:val="single"/>
        </w:rPr>
        <w:t xml:space="preserve">                   </w:t>
      </w:r>
      <w:r>
        <w:rPr>
          <w:rFonts w:hint="eastAsia" w:ascii="宋体" w:hAnsi="宋体"/>
          <w:color w:val="auto"/>
          <w:kern w:val="0"/>
          <w:sz w:val="32"/>
          <w:szCs w:val="32"/>
          <w:highlight w:val="none"/>
        </w:rPr>
        <w:t>（项目名称）</w:t>
      </w:r>
    </w:p>
    <w:p w14:paraId="2E6E4198">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6A58DAC">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F2905F2">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A1CA334">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竞选文件</w:t>
      </w:r>
    </w:p>
    <w:p w14:paraId="6CEFC9BC">
      <w:pPr>
        <w:autoSpaceDE w:val="0"/>
        <w:autoSpaceDN w:val="0"/>
        <w:adjustRightInd w:val="0"/>
        <w:snapToGrid w:val="0"/>
        <w:spacing w:line="360" w:lineRule="auto"/>
        <w:jc w:val="center"/>
        <w:rPr>
          <w:rFonts w:hint="eastAsia" w:ascii="宋体" w:hAnsi="宋体"/>
          <w:b/>
          <w:bCs/>
          <w:color w:val="auto"/>
          <w:kern w:val="0"/>
          <w:sz w:val="40"/>
          <w:szCs w:val="40"/>
          <w:highlight w:val="none"/>
        </w:rPr>
      </w:pPr>
      <w:r>
        <w:rPr>
          <w:rFonts w:hint="eastAsia" w:ascii="宋体" w:hAnsi="宋体"/>
          <w:b/>
          <w:bCs/>
          <w:color w:val="auto"/>
          <w:kern w:val="0"/>
          <w:sz w:val="40"/>
          <w:szCs w:val="40"/>
          <w:highlight w:val="none"/>
        </w:rPr>
        <w:t>（资格审查部分）</w:t>
      </w:r>
    </w:p>
    <w:p w14:paraId="07897758">
      <w:pPr>
        <w:autoSpaceDE w:val="0"/>
        <w:autoSpaceDN w:val="0"/>
        <w:adjustRightInd w:val="0"/>
        <w:snapToGrid w:val="0"/>
        <w:spacing w:line="360" w:lineRule="auto"/>
        <w:jc w:val="left"/>
        <w:rPr>
          <w:rFonts w:ascii="宋体" w:hAnsi="宋体"/>
          <w:b/>
          <w:color w:val="auto"/>
          <w:kern w:val="0"/>
          <w:sz w:val="20"/>
          <w:szCs w:val="20"/>
          <w:highlight w:val="none"/>
        </w:rPr>
      </w:pPr>
    </w:p>
    <w:p w14:paraId="02D3CF30">
      <w:pPr>
        <w:autoSpaceDE w:val="0"/>
        <w:autoSpaceDN w:val="0"/>
        <w:adjustRightInd w:val="0"/>
        <w:snapToGrid w:val="0"/>
        <w:spacing w:line="360" w:lineRule="auto"/>
        <w:jc w:val="left"/>
        <w:rPr>
          <w:rFonts w:ascii="宋体" w:hAnsi="宋体"/>
          <w:b/>
          <w:color w:val="auto"/>
          <w:kern w:val="0"/>
          <w:sz w:val="20"/>
          <w:szCs w:val="20"/>
          <w:highlight w:val="none"/>
        </w:rPr>
      </w:pPr>
    </w:p>
    <w:p w14:paraId="1AF77269">
      <w:pPr>
        <w:autoSpaceDE w:val="0"/>
        <w:autoSpaceDN w:val="0"/>
        <w:adjustRightInd w:val="0"/>
        <w:snapToGrid w:val="0"/>
        <w:spacing w:line="360" w:lineRule="auto"/>
        <w:jc w:val="left"/>
        <w:rPr>
          <w:rFonts w:ascii="宋体" w:hAnsi="宋体"/>
          <w:b/>
          <w:color w:val="auto"/>
          <w:kern w:val="0"/>
          <w:sz w:val="20"/>
          <w:szCs w:val="20"/>
          <w:highlight w:val="none"/>
        </w:rPr>
      </w:pPr>
    </w:p>
    <w:p w14:paraId="5CDDD7BB">
      <w:pPr>
        <w:autoSpaceDE w:val="0"/>
        <w:autoSpaceDN w:val="0"/>
        <w:adjustRightInd w:val="0"/>
        <w:snapToGrid w:val="0"/>
        <w:spacing w:line="360" w:lineRule="auto"/>
        <w:jc w:val="left"/>
        <w:rPr>
          <w:rFonts w:ascii="宋体" w:hAnsi="宋体"/>
          <w:b/>
          <w:color w:val="auto"/>
          <w:kern w:val="0"/>
          <w:sz w:val="20"/>
          <w:szCs w:val="20"/>
          <w:highlight w:val="none"/>
        </w:rPr>
      </w:pPr>
    </w:p>
    <w:p w14:paraId="4927506F">
      <w:pPr>
        <w:autoSpaceDE w:val="0"/>
        <w:autoSpaceDN w:val="0"/>
        <w:adjustRightInd w:val="0"/>
        <w:snapToGrid w:val="0"/>
        <w:spacing w:line="360" w:lineRule="auto"/>
        <w:jc w:val="left"/>
        <w:rPr>
          <w:rFonts w:ascii="宋体" w:hAnsi="宋体"/>
          <w:b/>
          <w:color w:val="auto"/>
          <w:kern w:val="0"/>
          <w:sz w:val="20"/>
          <w:szCs w:val="20"/>
          <w:highlight w:val="none"/>
        </w:rPr>
      </w:pPr>
    </w:p>
    <w:p w14:paraId="1338EEEB">
      <w:pPr>
        <w:autoSpaceDE w:val="0"/>
        <w:autoSpaceDN w:val="0"/>
        <w:adjustRightInd w:val="0"/>
        <w:snapToGrid w:val="0"/>
        <w:spacing w:line="360" w:lineRule="auto"/>
        <w:jc w:val="left"/>
        <w:rPr>
          <w:rFonts w:ascii="宋体" w:hAnsi="宋体"/>
          <w:b/>
          <w:color w:val="auto"/>
          <w:kern w:val="0"/>
          <w:sz w:val="20"/>
          <w:szCs w:val="20"/>
          <w:highlight w:val="none"/>
        </w:rPr>
      </w:pPr>
    </w:p>
    <w:p w14:paraId="4F04AE1B">
      <w:pPr>
        <w:autoSpaceDE w:val="0"/>
        <w:autoSpaceDN w:val="0"/>
        <w:adjustRightInd w:val="0"/>
        <w:snapToGrid w:val="0"/>
        <w:spacing w:line="360" w:lineRule="auto"/>
        <w:jc w:val="left"/>
        <w:rPr>
          <w:rFonts w:ascii="宋体" w:hAnsi="宋体"/>
          <w:b/>
          <w:color w:val="auto"/>
          <w:kern w:val="0"/>
          <w:sz w:val="20"/>
          <w:szCs w:val="20"/>
          <w:highlight w:val="none"/>
        </w:rPr>
      </w:pPr>
    </w:p>
    <w:p w14:paraId="6E649F5F">
      <w:pPr>
        <w:autoSpaceDE w:val="0"/>
        <w:autoSpaceDN w:val="0"/>
        <w:adjustRightInd w:val="0"/>
        <w:snapToGrid w:val="0"/>
        <w:spacing w:line="360" w:lineRule="auto"/>
        <w:jc w:val="left"/>
        <w:rPr>
          <w:rFonts w:ascii="宋体" w:hAnsi="宋体"/>
          <w:b/>
          <w:color w:val="auto"/>
          <w:kern w:val="0"/>
          <w:sz w:val="20"/>
          <w:szCs w:val="20"/>
          <w:highlight w:val="none"/>
        </w:rPr>
      </w:pPr>
    </w:p>
    <w:p w14:paraId="6D5B9F79">
      <w:pPr>
        <w:autoSpaceDE w:val="0"/>
        <w:autoSpaceDN w:val="0"/>
        <w:adjustRightInd w:val="0"/>
        <w:snapToGrid w:val="0"/>
        <w:spacing w:line="360" w:lineRule="auto"/>
        <w:jc w:val="left"/>
        <w:rPr>
          <w:rFonts w:ascii="宋体" w:hAnsi="宋体"/>
          <w:b/>
          <w:color w:val="auto"/>
          <w:kern w:val="0"/>
          <w:sz w:val="20"/>
          <w:szCs w:val="20"/>
          <w:highlight w:val="none"/>
        </w:rPr>
      </w:pPr>
    </w:p>
    <w:p w14:paraId="3EE65979">
      <w:pPr>
        <w:autoSpaceDE w:val="0"/>
        <w:autoSpaceDN w:val="0"/>
        <w:adjustRightInd w:val="0"/>
        <w:snapToGrid w:val="0"/>
        <w:spacing w:line="360" w:lineRule="auto"/>
        <w:jc w:val="left"/>
        <w:rPr>
          <w:rFonts w:ascii="宋体" w:hAnsi="宋体"/>
          <w:b/>
          <w:color w:val="auto"/>
          <w:kern w:val="0"/>
          <w:sz w:val="20"/>
          <w:szCs w:val="20"/>
          <w:highlight w:val="none"/>
        </w:rPr>
      </w:pPr>
    </w:p>
    <w:p w14:paraId="36E44E97">
      <w:pPr>
        <w:autoSpaceDE w:val="0"/>
        <w:autoSpaceDN w:val="0"/>
        <w:adjustRightInd w:val="0"/>
        <w:snapToGrid w:val="0"/>
        <w:spacing w:line="360" w:lineRule="auto"/>
        <w:jc w:val="left"/>
        <w:rPr>
          <w:rFonts w:ascii="宋体" w:hAnsi="宋体"/>
          <w:b/>
          <w:color w:val="auto"/>
          <w:kern w:val="0"/>
          <w:sz w:val="20"/>
          <w:szCs w:val="20"/>
          <w:highlight w:val="none"/>
        </w:rPr>
      </w:pPr>
    </w:p>
    <w:p w14:paraId="31708818">
      <w:pPr>
        <w:tabs>
          <w:tab w:val="left" w:pos="6080"/>
          <w:tab w:val="left" w:pos="6640"/>
        </w:tabs>
        <w:autoSpaceDE w:val="0"/>
        <w:autoSpaceDN w:val="0"/>
        <w:adjustRightInd w:val="0"/>
        <w:snapToGrid w:val="0"/>
        <w:spacing w:after="160" w:afterLines="50" w:line="360" w:lineRule="auto"/>
        <w:jc w:val="center"/>
        <w:rPr>
          <w:rFonts w:ascii="宋体" w:hAnsi="宋体"/>
          <w:color w:val="auto"/>
          <w:w w:val="99"/>
          <w:kern w:val="0"/>
          <w:sz w:val="28"/>
          <w:szCs w:val="28"/>
          <w:highlight w:val="none"/>
        </w:rPr>
      </w:pPr>
      <w:r>
        <w:rPr>
          <w:rFonts w:hint="eastAsia" w:ascii="宋体" w:hAnsi="宋体"/>
          <w:color w:val="auto"/>
          <w:spacing w:val="1"/>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w:t>
      </w:r>
      <w:r>
        <w:rPr>
          <w:rFonts w:hint="eastAsia" w:ascii="宋体" w:hAnsi="宋体"/>
          <w:color w:val="auto"/>
          <w:w w:val="99"/>
          <w:kern w:val="0"/>
          <w:sz w:val="28"/>
          <w:szCs w:val="28"/>
          <w:highlight w:val="none"/>
        </w:rPr>
        <w:t>公</w:t>
      </w:r>
      <w:r>
        <w:rPr>
          <w:rFonts w:ascii="宋体" w:hAnsi="宋体"/>
          <w:color w:val="auto"/>
          <w:w w:val="99"/>
          <w:kern w:val="0"/>
          <w:sz w:val="28"/>
          <w:szCs w:val="28"/>
          <w:highlight w:val="none"/>
        </w:rPr>
        <w:t>章）</w:t>
      </w:r>
    </w:p>
    <w:p w14:paraId="7CF79412">
      <w:pPr>
        <w:tabs>
          <w:tab w:val="left" w:pos="6080"/>
          <w:tab w:val="left" w:pos="6640"/>
        </w:tabs>
        <w:autoSpaceDE w:val="0"/>
        <w:autoSpaceDN w:val="0"/>
        <w:adjustRightInd w:val="0"/>
        <w:snapToGrid w:val="0"/>
        <w:spacing w:after="160"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（签字或盖章）</w:t>
      </w:r>
    </w:p>
    <w:p w14:paraId="74796DD5">
      <w:pPr>
        <w:spacing w:line="360" w:lineRule="auto"/>
        <w:jc w:val="center"/>
        <w:rPr>
          <w:rFonts w:hint="eastAsia" w:ascii="宋体" w:hAnsi="宋体"/>
          <w:color w:val="auto"/>
          <w:w w:val="99"/>
          <w:kern w:val="0"/>
          <w:sz w:val="28"/>
          <w:szCs w:val="28"/>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bookmarkEnd w:id="44"/>
      <w:bookmarkEnd w:id="45"/>
      <w:bookmarkEnd w:id="46"/>
      <w:bookmarkEnd w:id="47"/>
      <w:bookmarkEnd w:id="48"/>
      <w:bookmarkEnd w:id="49"/>
      <w:bookmarkEnd w:id="50"/>
      <w:bookmarkEnd w:id="51"/>
      <w:bookmarkEnd w:id="52"/>
    </w:p>
    <w:p w14:paraId="15573024">
      <w:pPr>
        <w:jc w:val="center"/>
        <w:rPr>
          <w:rFonts w:hint="eastAsia"/>
          <w:color w:val="auto"/>
          <w:highlight w:val="none"/>
        </w:rPr>
      </w:pPr>
      <w:r>
        <w:rPr>
          <w:rFonts w:hint="eastAsia"/>
          <w:color w:val="auto"/>
          <w:highlight w:val="none"/>
        </w:rPr>
        <w:br w:type="page"/>
      </w:r>
      <w:r>
        <w:rPr>
          <w:rFonts w:hint="eastAsia"/>
          <w:color w:val="auto"/>
          <w:sz w:val="36"/>
          <w:szCs w:val="44"/>
          <w:highlight w:val="none"/>
        </w:rPr>
        <w:t>目  录</w:t>
      </w:r>
    </w:p>
    <w:p w14:paraId="478B11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法定代表人身份证明或附有法定代表人身份证明的授权委托书</w:t>
      </w:r>
    </w:p>
    <w:p w14:paraId="188C0E2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竞选</w:t>
      </w:r>
      <w:r>
        <w:rPr>
          <w:rFonts w:ascii="宋体" w:hAnsi="宋体"/>
          <w:color w:val="auto"/>
          <w:szCs w:val="21"/>
          <w:highlight w:val="none"/>
        </w:rPr>
        <w:t>人基本情况表</w:t>
      </w:r>
    </w:p>
    <w:p w14:paraId="5056C90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ascii="宋体" w:hAnsi="宋体"/>
          <w:color w:val="auto"/>
          <w:szCs w:val="21"/>
          <w:highlight w:val="none"/>
        </w:rPr>
        <w:t>项目管理机构</w:t>
      </w:r>
    </w:p>
    <w:p w14:paraId="2EA2136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比选截止日竞选人资格情况</w:t>
      </w:r>
    </w:p>
    <w:p w14:paraId="740B71B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ascii="宋体" w:hAnsi="宋体"/>
          <w:color w:val="auto"/>
          <w:szCs w:val="21"/>
          <w:highlight w:val="none"/>
        </w:rPr>
        <w:t>其他资料</w:t>
      </w:r>
    </w:p>
    <w:p w14:paraId="2F07BBC6">
      <w:pPr>
        <w:pStyle w:val="2"/>
        <w:ind w:firstLine="520" w:firstLineChars="200"/>
        <w:rPr>
          <w:color w:val="auto"/>
          <w:highlight w:val="none"/>
        </w:rPr>
      </w:pPr>
      <w:r>
        <w:rPr>
          <w:color w:val="auto"/>
          <w:highlight w:val="none"/>
        </w:rPr>
        <w:br w:type="page"/>
      </w:r>
    </w:p>
    <w:p w14:paraId="7F29B747">
      <w:pPr>
        <w:spacing w:after="260"/>
        <w:jc w:val="center"/>
        <w:outlineLvl w:val="2"/>
        <w:rPr>
          <w:rFonts w:ascii="宋体" w:hAnsi="宋体"/>
          <w:snapToGrid w:val="0"/>
          <w:color w:val="auto"/>
          <w:kern w:val="0"/>
          <w:szCs w:val="21"/>
          <w:highlight w:val="none"/>
        </w:rPr>
      </w:pPr>
      <w:bookmarkStart w:id="53" w:name="_Toc18837"/>
      <w:bookmarkStart w:id="54" w:name="_Toc12182"/>
      <w:bookmarkStart w:id="55" w:name="_Toc23302"/>
      <w:bookmarkStart w:id="56" w:name="_Toc42269747"/>
      <w:bookmarkStart w:id="57" w:name="_Toc277082659"/>
      <w:bookmarkStart w:id="58" w:name="_Toc287607887"/>
      <w:r>
        <w:rPr>
          <w:rFonts w:hint="eastAsia" w:ascii="宋体" w:hAnsi="宋体"/>
          <w:b/>
          <w:bCs/>
          <w:color w:val="auto"/>
          <w:sz w:val="32"/>
          <w:szCs w:val="32"/>
          <w:highlight w:val="none"/>
        </w:rPr>
        <w:t>1</w:t>
      </w:r>
      <w:r>
        <w:rPr>
          <w:rFonts w:hint="eastAsia" w:ascii="宋体" w:hAnsi="宋体"/>
          <w:color w:val="auto"/>
          <w:sz w:val="32"/>
          <w:szCs w:val="32"/>
          <w:highlight w:val="none"/>
        </w:rPr>
        <w:t>.</w:t>
      </w:r>
      <w:r>
        <w:rPr>
          <w:rFonts w:ascii="宋体" w:hAnsi="宋体"/>
          <w:b/>
          <w:bCs/>
          <w:color w:val="auto"/>
          <w:sz w:val="32"/>
          <w:szCs w:val="32"/>
          <w:highlight w:val="none"/>
        </w:rPr>
        <w:t>法</w:t>
      </w:r>
      <w:r>
        <w:rPr>
          <w:rFonts w:ascii="宋体" w:hAnsi="宋体"/>
          <w:b/>
          <w:bCs/>
          <w:color w:val="auto"/>
          <w:sz w:val="32"/>
          <w:szCs w:val="40"/>
          <w:highlight w:val="none"/>
        </w:rPr>
        <w:t>定代表人身份证明及授权委托书</w:t>
      </w:r>
    </w:p>
    <w:p w14:paraId="524DF66D">
      <w:pPr>
        <w:spacing w:line="480" w:lineRule="auto"/>
        <w:jc w:val="center"/>
        <w:rPr>
          <w:rFonts w:hint="eastAsia" w:ascii="宋体" w:hAnsi="宋体"/>
          <w:color w:val="auto"/>
          <w:sz w:val="28"/>
          <w:highlight w:val="none"/>
        </w:rPr>
      </w:pPr>
      <w:r>
        <w:rPr>
          <w:rFonts w:hint="eastAsia" w:ascii="宋体" w:hAnsi="宋体"/>
          <w:color w:val="auto"/>
          <w:sz w:val="28"/>
          <w:highlight w:val="none"/>
        </w:rPr>
        <w:t>法定代表人身份证明</w:t>
      </w:r>
    </w:p>
    <w:p w14:paraId="63DA987B">
      <w:pPr>
        <w:spacing w:line="480" w:lineRule="auto"/>
        <w:jc w:val="center"/>
        <w:rPr>
          <w:rFonts w:ascii="宋体" w:hAnsi="宋体"/>
          <w:color w:val="auto"/>
          <w:highlight w:val="none"/>
        </w:rPr>
      </w:pPr>
    </w:p>
    <w:p w14:paraId="16EDA3D8">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6BEB03B">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0DBCD10D">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1AAB3E3">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01ED3B59">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1660458B">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31B80797">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竞选人</w:t>
      </w:r>
      <w:r>
        <w:rPr>
          <w:rFonts w:ascii="宋体" w:hAnsi="宋体"/>
          <w:color w:val="auto"/>
          <w:kern w:val="0"/>
          <w:szCs w:val="21"/>
          <w:highlight w:val="none"/>
        </w:rPr>
        <w:t>名称）的法定代表人。</w:t>
      </w:r>
    </w:p>
    <w:p w14:paraId="0F74031E">
      <w:pPr>
        <w:autoSpaceDE w:val="0"/>
        <w:autoSpaceDN w:val="0"/>
        <w:adjustRightInd w:val="0"/>
        <w:snapToGrid w:val="0"/>
        <w:spacing w:line="480" w:lineRule="auto"/>
        <w:ind w:firstLine="186" w:firstLineChars="186"/>
        <w:jc w:val="left"/>
        <w:rPr>
          <w:rFonts w:ascii="宋体" w:hAnsi="宋体"/>
          <w:color w:val="auto"/>
          <w:kern w:val="0"/>
          <w:sz w:val="10"/>
          <w:szCs w:val="10"/>
          <w:highlight w:val="none"/>
        </w:rPr>
      </w:pPr>
    </w:p>
    <w:p w14:paraId="2E0EB673">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ascii="宋体" w:hAnsi="宋体"/>
          <w:color w:val="auto"/>
          <w:kern w:val="0"/>
          <w:szCs w:val="21"/>
          <w:highlight w:val="none"/>
        </w:rPr>
        <w:t>特此证明。</w:t>
      </w:r>
    </w:p>
    <w:tbl>
      <w:tblPr>
        <w:tblStyle w:val="14"/>
        <w:tblpPr w:leftFromText="180" w:rightFromText="180" w:vertAnchor="text" w:horzAnchor="margin" w:tblpXSpec="center" w:tblpY="81"/>
        <w:tblW w:w="0" w:type="auto"/>
        <w:jc w:val="center"/>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5243"/>
      </w:tblGrid>
      <w:tr w14:paraId="09264DD7">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jc w:val="center"/>
        </w:trPr>
        <w:tc>
          <w:tcPr>
            <w:tcW w:w="5243" w:type="dxa"/>
            <w:noWrap w:val="0"/>
            <w:vAlign w:val="top"/>
          </w:tcPr>
          <w:p w14:paraId="11227CA9">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法定代表人身份证复印件双面</w:t>
            </w:r>
          </w:p>
          <w:p w14:paraId="1CDE7073">
            <w:pPr>
              <w:spacing w:line="360" w:lineRule="auto"/>
              <w:jc w:val="center"/>
              <w:rPr>
                <w:rFonts w:hint="eastAsia" w:ascii="宋体" w:hAnsi="宋体" w:cs="宋体"/>
                <w:b/>
                <w:color w:val="auto"/>
                <w:szCs w:val="21"/>
                <w:highlight w:val="none"/>
              </w:rPr>
            </w:pPr>
          </w:p>
        </w:tc>
      </w:tr>
    </w:tbl>
    <w:p w14:paraId="175D75B5">
      <w:pPr>
        <w:autoSpaceDE w:val="0"/>
        <w:autoSpaceDN w:val="0"/>
        <w:adjustRightInd w:val="0"/>
        <w:snapToGrid w:val="0"/>
        <w:spacing w:line="480" w:lineRule="auto"/>
        <w:ind w:firstLine="810" w:firstLineChars="386"/>
        <w:jc w:val="center"/>
        <w:rPr>
          <w:rFonts w:hint="eastAsia" w:ascii="宋体" w:hAnsi="宋体"/>
          <w:color w:val="auto"/>
          <w:kern w:val="0"/>
          <w:szCs w:val="21"/>
          <w:highlight w:val="none"/>
        </w:rPr>
      </w:pPr>
    </w:p>
    <w:p w14:paraId="25A466DD">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p>
    <w:p w14:paraId="65425288">
      <w:pPr>
        <w:autoSpaceDE w:val="0"/>
        <w:autoSpaceDN w:val="0"/>
        <w:adjustRightInd w:val="0"/>
        <w:snapToGrid w:val="0"/>
        <w:spacing w:line="480" w:lineRule="auto"/>
        <w:ind w:firstLine="772" w:firstLineChars="386"/>
        <w:jc w:val="left"/>
        <w:rPr>
          <w:rFonts w:hint="eastAsia" w:ascii="宋体" w:hAnsi="宋体"/>
          <w:color w:val="auto"/>
          <w:kern w:val="0"/>
          <w:sz w:val="20"/>
          <w:szCs w:val="20"/>
          <w:highlight w:val="none"/>
        </w:rPr>
      </w:pPr>
    </w:p>
    <w:p w14:paraId="3D977CB8">
      <w:pPr>
        <w:autoSpaceDE w:val="0"/>
        <w:autoSpaceDN w:val="0"/>
        <w:adjustRightInd w:val="0"/>
        <w:snapToGrid w:val="0"/>
        <w:spacing w:line="480" w:lineRule="auto"/>
        <w:jc w:val="left"/>
        <w:rPr>
          <w:rFonts w:ascii="宋体" w:hAnsi="宋体"/>
          <w:color w:val="auto"/>
          <w:kern w:val="0"/>
          <w:sz w:val="20"/>
          <w:szCs w:val="20"/>
          <w:highlight w:val="none"/>
        </w:rPr>
      </w:pPr>
    </w:p>
    <w:p w14:paraId="0373B381">
      <w:pPr>
        <w:tabs>
          <w:tab w:val="left" w:pos="5460"/>
        </w:tabs>
        <w:autoSpaceDE w:val="0"/>
        <w:autoSpaceDN w:val="0"/>
        <w:adjustRightInd w:val="0"/>
        <w:snapToGrid w:val="0"/>
        <w:spacing w:line="480" w:lineRule="auto"/>
        <w:ind w:firstLine="2100"/>
        <w:jc w:val="right"/>
        <w:rPr>
          <w:rFonts w:hint="eastAsia" w:ascii="宋体" w:hAnsi="宋体"/>
          <w:color w:val="auto"/>
          <w:kern w:val="0"/>
          <w:szCs w:val="21"/>
          <w:highlight w:val="none"/>
        </w:rPr>
      </w:pPr>
    </w:p>
    <w:p w14:paraId="66F581F6">
      <w:pPr>
        <w:tabs>
          <w:tab w:val="left" w:pos="5460"/>
        </w:tabs>
        <w:autoSpaceDE w:val="0"/>
        <w:autoSpaceDN w:val="0"/>
        <w:adjustRightInd w:val="0"/>
        <w:snapToGrid w:val="0"/>
        <w:spacing w:line="480" w:lineRule="auto"/>
        <w:ind w:firstLine="2100"/>
        <w:jc w:val="righ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w:t>
      </w:r>
      <w:r>
        <w:rPr>
          <w:rFonts w:hint="eastAsia" w:ascii="宋体" w:hAnsi="宋体"/>
          <w:color w:val="auto"/>
          <w:kern w:val="0"/>
          <w:szCs w:val="21"/>
          <w:highlight w:val="none"/>
        </w:rPr>
        <w:t>公</w:t>
      </w:r>
      <w:r>
        <w:rPr>
          <w:rFonts w:ascii="宋体" w:hAnsi="宋体"/>
          <w:color w:val="auto"/>
          <w:kern w:val="0"/>
          <w:szCs w:val="21"/>
          <w:highlight w:val="none"/>
        </w:rPr>
        <w:t>章）</w:t>
      </w:r>
    </w:p>
    <w:p w14:paraId="1BC99279">
      <w:pPr>
        <w:autoSpaceDE w:val="0"/>
        <w:autoSpaceDN w:val="0"/>
        <w:adjustRightInd w:val="0"/>
        <w:snapToGrid w:val="0"/>
        <w:spacing w:line="480" w:lineRule="auto"/>
        <w:jc w:val="left"/>
        <w:rPr>
          <w:rFonts w:ascii="宋体" w:hAnsi="宋体"/>
          <w:color w:val="auto"/>
          <w:kern w:val="0"/>
          <w:sz w:val="20"/>
          <w:szCs w:val="20"/>
          <w:highlight w:val="none"/>
        </w:rPr>
      </w:pPr>
    </w:p>
    <w:p w14:paraId="708B0721">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006BAEA3">
      <w:pPr>
        <w:autoSpaceDE w:val="0"/>
        <w:autoSpaceDN w:val="0"/>
        <w:adjustRightInd w:val="0"/>
        <w:snapToGrid w:val="0"/>
        <w:spacing w:line="360" w:lineRule="auto"/>
        <w:jc w:val="left"/>
        <w:rPr>
          <w:rFonts w:ascii="宋体" w:hAnsi="宋体"/>
          <w:color w:val="auto"/>
          <w:kern w:val="0"/>
          <w:highlight w:val="none"/>
        </w:rPr>
      </w:pPr>
    </w:p>
    <w:p w14:paraId="63D47213">
      <w:pPr>
        <w:autoSpaceDE w:val="0"/>
        <w:autoSpaceDN w:val="0"/>
        <w:adjustRightInd w:val="0"/>
        <w:snapToGrid w:val="0"/>
        <w:spacing w:line="360" w:lineRule="auto"/>
        <w:jc w:val="left"/>
        <w:rPr>
          <w:rFonts w:ascii="宋体" w:hAnsi="宋体"/>
          <w:color w:val="auto"/>
          <w:kern w:val="0"/>
          <w:highlight w:val="none"/>
        </w:rPr>
      </w:pPr>
    </w:p>
    <w:p w14:paraId="5A00C227">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29DC61B4">
      <w:pPr>
        <w:autoSpaceDE w:val="0"/>
        <w:autoSpaceDN w:val="0"/>
        <w:adjustRightInd w:val="0"/>
        <w:snapToGrid w:val="0"/>
        <w:spacing w:line="360" w:lineRule="auto"/>
        <w:jc w:val="left"/>
        <w:rPr>
          <w:rFonts w:ascii="宋体" w:hAnsi="宋体"/>
          <w:color w:val="auto"/>
          <w:kern w:val="0"/>
          <w:highlight w:val="none"/>
        </w:rPr>
      </w:pPr>
    </w:p>
    <w:p w14:paraId="2F5881A8">
      <w:pPr>
        <w:autoSpaceDE w:val="0"/>
        <w:autoSpaceDN w:val="0"/>
        <w:adjustRightInd w:val="0"/>
        <w:snapToGrid w:val="0"/>
        <w:spacing w:line="360" w:lineRule="auto"/>
        <w:jc w:val="left"/>
        <w:rPr>
          <w:rFonts w:ascii="宋体" w:hAnsi="宋体"/>
          <w:color w:val="auto"/>
          <w:kern w:val="0"/>
          <w:highlight w:val="none"/>
        </w:rPr>
      </w:pPr>
    </w:p>
    <w:p w14:paraId="0C50521A">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12"/>
          <w:szCs w:val="12"/>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691F8335">
      <w:pPr>
        <w:autoSpaceDE w:val="0"/>
        <w:autoSpaceDN w:val="0"/>
        <w:adjustRightInd w:val="0"/>
        <w:snapToGrid w:val="0"/>
        <w:spacing w:line="360" w:lineRule="auto"/>
        <w:jc w:val="left"/>
        <w:rPr>
          <w:rFonts w:ascii="宋体" w:hAnsi="宋体"/>
          <w:color w:val="auto"/>
          <w:kern w:val="0"/>
          <w:sz w:val="20"/>
          <w:szCs w:val="20"/>
          <w:highlight w:val="none"/>
        </w:rPr>
      </w:pPr>
    </w:p>
    <w:p w14:paraId="2C721A3E">
      <w:pPr>
        <w:autoSpaceDE w:val="0"/>
        <w:autoSpaceDN w:val="0"/>
        <w:adjustRightInd w:val="0"/>
        <w:snapToGrid w:val="0"/>
        <w:spacing w:line="360" w:lineRule="auto"/>
        <w:jc w:val="left"/>
        <w:rPr>
          <w:rFonts w:ascii="宋体" w:hAnsi="宋体"/>
          <w:color w:val="auto"/>
          <w:kern w:val="0"/>
          <w:sz w:val="20"/>
          <w:szCs w:val="20"/>
          <w:highlight w:val="none"/>
        </w:rPr>
      </w:pPr>
    </w:p>
    <w:p w14:paraId="20BAE29D">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本人</w:t>
      </w:r>
      <w:r>
        <w:rPr>
          <w:rFonts w:ascii="宋体" w:hAnsi="宋体"/>
          <w:color w:val="auto"/>
          <w:w w:val="200"/>
          <w:kern w:val="0"/>
          <w:szCs w:val="21"/>
          <w:highlight w:val="none"/>
          <w:u w:val="single"/>
        </w:rPr>
        <w:t xml:space="preserve">   </w:t>
      </w:r>
      <w:r>
        <w:rPr>
          <w:rFonts w:ascii="宋体" w:hAnsi="宋体"/>
          <w:color w:val="auto"/>
          <w:kern w:val="0"/>
          <w:szCs w:val="21"/>
          <w:highlight w:val="none"/>
        </w:rPr>
        <w:t>（姓名）系</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竞选人</w:t>
      </w:r>
      <w:r>
        <w:rPr>
          <w:rFonts w:ascii="宋体" w:hAnsi="宋体"/>
          <w:color w:val="auto"/>
          <w:kern w:val="0"/>
          <w:szCs w:val="21"/>
          <w:highlight w:val="none"/>
        </w:rPr>
        <w:t>名称</w:t>
      </w:r>
      <w:r>
        <w:rPr>
          <w:rFonts w:ascii="宋体" w:hAnsi="宋体"/>
          <w:color w:val="auto"/>
          <w:spacing w:val="1"/>
          <w:kern w:val="0"/>
          <w:szCs w:val="21"/>
          <w:highlight w:val="non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ascii="宋体" w:hAnsi="宋体"/>
          <w:color w:val="auto"/>
          <w:w w:val="200"/>
          <w:kern w:val="0"/>
          <w:szCs w:val="21"/>
          <w:highlight w:val="none"/>
          <w:u w:val="single"/>
        </w:rPr>
        <w:t xml:space="preserve">    </w:t>
      </w:r>
      <w:r>
        <w:rPr>
          <w:rFonts w:ascii="宋体" w:hAnsi="宋体"/>
          <w:color w:val="auto"/>
          <w:kern w:val="0"/>
          <w:szCs w:val="21"/>
          <w:highlight w:val="none"/>
        </w:rPr>
        <w:t>（姓名）为我方代理人。代理人根据授权，以我方名义签署、递交、撤回、修改</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（项</w:t>
      </w:r>
      <w:r>
        <w:rPr>
          <w:rFonts w:ascii="宋体" w:hAnsi="宋体"/>
          <w:color w:val="auto"/>
          <w:spacing w:val="-1"/>
          <w:kern w:val="0"/>
          <w:szCs w:val="21"/>
          <w:highlight w:val="none"/>
        </w:rPr>
        <w:t>目</w:t>
      </w:r>
      <w:r>
        <w:rPr>
          <w:rFonts w:ascii="宋体" w:hAnsi="宋体"/>
          <w:color w:val="auto"/>
          <w:kern w:val="0"/>
          <w:szCs w:val="21"/>
          <w:highlight w:val="none"/>
        </w:rPr>
        <w:t>名称）</w:t>
      </w:r>
      <w:r>
        <w:rPr>
          <w:rFonts w:hint="eastAsia" w:ascii="宋体" w:hAnsi="宋体"/>
          <w:color w:val="auto"/>
          <w:kern w:val="0"/>
          <w:szCs w:val="21"/>
          <w:highlight w:val="none"/>
        </w:rPr>
        <w:t>竞选文件</w:t>
      </w:r>
      <w:r>
        <w:rPr>
          <w:rFonts w:ascii="宋体" w:hAnsi="宋体"/>
          <w:color w:val="auto"/>
          <w:kern w:val="0"/>
          <w:szCs w:val="21"/>
          <w:highlight w:val="none"/>
        </w:rPr>
        <w:t>、</w:t>
      </w:r>
      <w:r>
        <w:rPr>
          <w:rFonts w:hint="eastAsia" w:ascii="宋体" w:hAnsi="宋体"/>
          <w:color w:val="auto"/>
          <w:kern w:val="0"/>
          <w:szCs w:val="21"/>
          <w:highlight w:val="none"/>
        </w:rPr>
        <w:t>领取原件、</w:t>
      </w:r>
      <w:r>
        <w:rPr>
          <w:rFonts w:ascii="宋体" w:hAnsi="宋体"/>
          <w:color w:val="auto"/>
          <w:kern w:val="0"/>
          <w:szCs w:val="21"/>
          <w:highlight w:val="none"/>
        </w:rPr>
        <w:t>签订合同和处理有关事宜， 其法律后果由我方承担。</w:t>
      </w:r>
    </w:p>
    <w:p w14:paraId="2096D192">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 xml:space="preserve">。 </w:t>
      </w:r>
    </w:p>
    <w:p w14:paraId="4A403C17">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highlight w:val="none"/>
        </w:rPr>
      </w:pPr>
      <w:r>
        <w:rPr>
          <w:rFonts w:ascii="宋体" w:hAnsi="宋体"/>
          <w:color w:val="auto"/>
          <w:kern w:val="0"/>
          <w:szCs w:val="21"/>
          <w:highlight w:val="none"/>
        </w:rPr>
        <w:t>代理人无转委托权。</w:t>
      </w:r>
    </w:p>
    <w:p w14:paraId="73492424">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14:paraId="3C0E745C">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（签字或盖章）</w:t>
      </w:r>
    </w:p>
    <w:p w14:paraId="4C9BA508">
      <w:pPr>
        <w:tabs>
          <w:tab w:val="left" w:pos="5260"/>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2AC25419">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（签</w:t>
      </w:r>
      <w:r>
        <w:rPr>
          <w:rFonts w:ascii="宋体" w:hAnsi="宋体"/>
          <w:color w:val="auto"/>
          <w:spacing w:val="-1"/>
          <w:kern w:val="0"/>
          <w:szCs w:val="21"/>
          <w:highlight w:val="none"/>
        </w:rPr>
        <w:t>字</w:t>
      </w:r>
      <w:r>
        <w:rPr>
          <w:rFonts w:ascii="宋体" w:hAnsi="宋体"/>
          <w:color w:val="auto"/>
          <w:kern w:val="0"/>
          <w:szCs w:val="21"/>
          <w:highlight w:val="none"/>
        </w:rPr>
        <w:t>）</w:t>
      </w:r>
    </w:p>
    <w:p w14:paraId="1AC0EF6D">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p>
    <w:p w14:paraId="68E8540C">
      <w:pPr>
        <w:autoSpaceDE w:val="0"/>
        <w:autoSpaceDN w:val="0"/>
        <w:adjustRightInd w:val="0"/>
        <w:snapToGrid w:val="0"/>
        <w:spacing w:line="480" w:lineRule="auto"/>
        <w:jc w:val="left"/>
        <w:rPr>
          <w:rFonts w:hint="eastAsia" w:ascii="宋体" w:hAnsi="宋体"/>
          <w:color w:val="auto"/>
          <w:kern w:val="0"/>
          <w:sz w:val="20"/>
          <w:szCs w:val="20"/>
          <w:highlight w:val="none"/>
        </w:rPr>
      </w:pPr>
    </w:p>
    <w:tbl>
      <w:tblPr>
        <w:tblStyle w:val="14"/>
        <w:tblpPr w:leftFromText="180" w:rightFromText="180" w:vertAnchor="text" w:horzAnchor="margin" w:tblpY="81"/>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815"/>
      </w:tblGrid>
      <w:tr w14:paraId="53CF0C80">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trPr>
        <w:tc>
          <w:tcPr>
            <w:tcW w:w="3815" w:type="dxa"/>
            <w:noWrap w:val="0"/>
            <w:vAlign w:val="top"/>
          </w:tcPr>
          <w:p w14:paraId="1DEF46DC">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法定代表人身份证复印件双面</w:t>
            </w:r>
          </w:p>
          <w:p w14:paraId="6F159285">
            <w:pPr>
              <w:spacing w:line="360" w:lineRule="auto"/>
              <w:jc w:val="center"/>
              <w:rPr>
                <w:rFonts w:hint="eastAsia" w:ascii="宋体" w:hAnsi="宋体" w:cs="宋体"/>
                <w:b/>
                <w:color w:val="auto"/>
                <w:szCs w:val="21"/>
                <w:highlight w:val="none"/>
              </w:rPr>
            </w:pPr>
          </w:p>
        </w:tc>
      </w:tr>
    </w:tbl>
    <w:tbl>
      <w:tblPr>
        <w:tblStyle w:val="14"/>
        <w:tblpPr w:leftFromText="180" w:rightFromText="180" w:vertAnchor="text" w:horzAnchor="page" w:tblpX="6047" w:tblpY="114"/>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80"/>
      </w:tblGrid>
      <w:tr w14:paraId="35D9A9C6">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27" w:hRule="atLeast"/>
        </w:trPr>
        <w:tc>
          <w:tcPr>
            <w:tcW w:w="3980" w:type="dxa"/>
            <w:noWrap w:val="0"/>
            <w:vAlign w:val="top"/>
          </w:tcPr>
          <w:p w14:paraId="355AC0D0">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委托代理人身份证复印件双面</w:t>
            </w:r>
          </w:p>
          <w:p w14:paraId="2FF7530D">
            <w:pPr>
              <w:spacing w:line="360" w:lineRule="auto"/>
              <w:jc w:val="center"/>
              <w:rPr>
                <w:rFonts w:hint="eastAsia" w:ascii="宋体" w:hAnsi="宋体" w:cs="宋体"/>
                <w:b/>
                <w:color w:val="auto"/>
                <w:szCs w:val="21"/>
                <w:highlight w:val="none"/>
              </w:rPr>
            </w:pPr>
          </w:p>
        </w:tc>
      </w:tr>
    </w:tbl>
    <w:p w14:paraId="6F9F1154">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431612DB">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18CD6282">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6C2866BA">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62AD0DFA">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45541B2D">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49AA4703">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523BC68E">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0748880A">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kern w:val="0"/>
          <w:szCs w:val="21"/>
          <w:highlight w:val="none"/>
        </w:rPr>
      </w:pPr>
      <w:r>
        <w:rPr>
          <w:rFonts w:hint="eastAsia" w:ascii="宋体" w:hAnsi="宋体"/>
          <w:color w:val="auto"/>
          <w:kern w:val="0"/>
          <w:szCs w:val="21"/>
          <w:highlight w:val="none"/>
        </w:rPr>
        <w:t xml:space="preserve"> </w:t>
      </w:r>
    </w:p>
    <w:p w14:paraId="00164064">
      <w:pPr>
        <w:spacing w:line="360" w:lineRule="auto"/>
        <w:ind w:firstLine="422" w:firstLineChars="200"/>
        <w:rPr>
          <w:rFonts w:ascii="宋体" w:hAnsi="宋体"/>
          <w:color w:val="auto"/>
          <w:highlight w:val="none"/>
        </w:rPr>
      </w:pPr>
      <w:r>
        <w:rPr>
          <w:rFonts w:hint="eastAsia" w:ascii="宋体" w:hAnsi="宋体" w:cs="宋体"/>
          <w:b/>
          <w:bCs/>
          <w:color w:val="auto"/>
          <w:kern w:val="0"/>
          <w:szCs w:val="21"/>
          <w:highlight w:val="none"/>
        </w:rPr>
        <w:t>注：法定代表人身份证明及授权委托书须另外准备一份原件，随竞选文件一并递交</w:t>
      </w:r>
      <w:r>
        <w:rPr>
          <w:rFonts w:ascii="宋体" w:hAnsi="宋体"/>
          <w:color w:val="auto"/>
          <w:highlight w:val="none"/>
        </w:rPr>
        <w:t>。</w:t>
      </w:r>
    </w:p>
    <w:p w14:paraId="3E849D07">
      <w:pPr>
        <w:pStyle w:val="6"/>
        <w:spacing w:before="0"/>
        <w:jc w:val="center"/>
        <w:rPr>
          <w:rFonts w:ascii="宋体" w:hAnsi="宋体"/>
          <w:color w:val="auto"/>
          <w:highlight w:val="none"/>
        </w:rPr>
      </w:pPr>
      <w:r>
        <w:rPr>
          <w:rFonts w:hint="eastAsia" w:ascii="宋体" w:hAnsi="宋体"/>
          <w:b w:val="0"/>
          <w:color w:val="auto"/>
          <w:highlight w:val="none"/>
        </w:rPr>
        <w:br w:type="page"/>
      </w:r>
      <w:r>
        <w:rPr>
          <w:rFonts w:hint="eastAsia" w:ascii="宋体" w:hAnsi="宋体" w:eastAsia="宋体"/>
          <w:bCs/>
          <w:color w:val="auto"/>
          <w:kern w:val="2"/>
          <w:sz w:val="32"/>
          <w:szCs w:val="32"/>
          <w:highlight w:val="none"/>
        </w:rPr>
        <w:t>2.竞选人基本情况表</w:t>
      </w:r>
      <w:bookmarkEnd w:id="53"/>
      <w:bookmarkEnd w:id="54"/>
      <w:bookmarkEnd w:id="55"/>
      <w:bookmarkEnd w:id="56"/>
    </w:p>
    <w:tbl>
      <w:tblPr>
        <w:tblStyle w:val="14"/>
        <w:tblW w:w="0" w:type="auto"/>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75BBBE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1" w:hRule="exact"/>
        </w:trPr>
        <w:tc>
          <w:tcPr>
            <w:tcW w:w="1862" w:type="dxa"/>
            <w:noWrap w:val="0"/>
            <w:vAlign w:val="center"/>
          </w:tcPr>
          <w:p w14:paraId="26D82F81">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竞选人</w:t>
            </w:r>
            <w:r>
              <w:rPr>
                <w:rFonts w:hint="eastAsia" w:ascii="宋体" w:hAnsi="宋体" w:cs="MingLiU"/>
                <w:color w:val="auto"/>
                <w:kern w:val="0"/>
                <w:szCs w:val="21"/>
                <w:highlight w:val="none"/>
              </w:rPr>
              <w:t>名称</w:t>
            </w:r>
          </w:p>
        </w:tc>
        <w:tc>
          <w:tcPr>
            <w:tcW w:w="7607" w:type="dxa"/>
            <w:gridSpan w:val="9"/>
            <w:noWrap w:val="0"/>
            <w:vAlign w:val="center"/>
          </w:tcPr>
          <w:p w14:paraId="7E527949">
            <w:pPr>
              <w:autoSpaceDE w:val="0"/>
              <w:autoSpaceDN w:val="0"/>
              <w:adjustRightInd w:val="0"/>
              <w:snapToGrid w:val="0"/>
              <w:jc w:val="center"/>
              <w:rPr>
                <w:rFonts w:ascii="宋体" w:hAnsi="宋体"/>
                <w:color w:val="auto"/>
                <w:kern w:val="0"/>
                <w:szCs w:val="21"/>
                <w:highlight w:val="none"/>
              </w:rPr>
            </w:pPr>
          </w:p>
        </w:tc>
      </w:tr>
      <w:tr w14:paraId="62A8DA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1" w:hRule="exact"/>
        </w:trPr>
        <w:tc>
          <w:tcPr>
            <w:tcW w:w="1862" w:type="dxa"/>
            <w:noWrap w:val="0"/>
            <w:vAlign w:val="center"/>
          </w:tcPr>
          <w:p w14:paraId="3356023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noWrap w:val="0"/>
            <w:vAlign w:val="center"/>
          </w:tcPr>
          <w:p w14:paraId="5D1E1E14">
            <w:pPr>
              <w:autoSpaceDE w:val="0"/>
              <w:autoSpaceDN w:val="0"/>
              <w:adjustRightInd w:val="0"/>
              <w:snapToGrid w:val="0"/>
              <w:jc w:val="center"/>
              <w:rPr>
                <w:rFonts w:ascii="宋体" w:hAnsi="宋体"/>
                <w:color w:val="auto"/>
                <w:kern w:val="0"/>
                <w:szCs w:val="21"/>
                <w:highlight w:val="none"/>
              </w:rPr>
            </w:pPr>
          </w:p>
        </w:tc>
        <w:tc>
          <w:tcPr>
            <w:tcW w:w="1392" w:type="dxa"/>
            <w:noWrap w:val="0"/>
            <w:vAlign w:val="center"/>
          </w:tcPr>
          <w:p w14:paraId="2016021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noWrap w:val="0"/>
            <w:vAlign w:val="center"/>
          </w:tcPr>
          <w:p w14:paraId="658FEA3F">
            <w:pPr>
              <w:autoSpaceDE w:val="0"/>
              <w:autoSpaceDN w:val="0"/>
              <w:adjustRightInd w:val="0"/>
              <w:snapToGrid w:val="0"/>
              <w:jc w:val="center"/>
              <w:rPr>
                <w:rFonts w:ascii="宋体" w:hAnsi="宋体"/>
                <w:color w:val="auto"/>
                <w:kern w:val="0"/>
                <w:szCs w:val="21"/>
                <w:highlight w:val="none"/>
              </w:rPr>
            </w:pPr>
          </w:p>
        </w:tc>
      </w:tr>
      <w:tr w14:paraId="527F54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1" w:hRule="exact"/>
        </w:trPr>
        <w:tc>
          <w:tcPr>
            <w:tcW w:w="1862" w:type="dxa"/>
            <w:vMerge w:val="restart"/>
            <w:noWrap w:val="0"/>
            <w:vAlign w:val="center"/>
          </w:tcPr>
          <w:p w14:paraId="269D1FC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noWrap w:val="0"/>
            <w:vAlign w:val="center"/>
          </w:tcPr>
          <w:p w14:paraId="03C0C8E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noWrap w:val="0"/>
            <w:vAlign w:val="center"/>
          </w:tcPr>
          <w:p w14:paraId="04A5B2E3">
            <w:pPr>
              <w:autoSpaceDE w:val="0"/>
              <w:autoSpaceDN w:val="0"/>
              <w:adjustRightInd w:val="0"/>
              <w:snapToGrid w:val="0"/>
              <w:jc w:val="center"/>
              <w:rPr>
                <w:rFonts w:ascii="宋体" w:hAnsi="宋体"/>
                <w:color w:val="auto"/>
                <w:kern w:val="0"/>
                <w:szCs w:val="21"/>
                <w:highlight w:val="none"/>
              </w:rPr>
            </w:pPr>
          </w:p>
        </w:tc>
        <w:tc>
          <w:tcPr>
            <w:tcW w:w="1392" w:type="dxa"/>
            <w:noWrap w:val="0"/>
            <w:vAlign w:val="center"/>
          </w:tcPr>
          <w:p w14:paraId="01EA932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noWrap w:val="0"/>
            <w:vAlign w:val="center"/>
          </w:tcPr>
          <w:p w14:paraId="7D0114B0">
            <w:pPr>
              <w:autoSpaceDE w:val="0"/>
              <w:autoSpaceDN w:val="0"/>
              <w:adjustRightInd w:val="0"/>
              <w:snapToGrid w:val="0"/>
              <w:jc w:val="center"/>
              <w:rPr>
                <w:rFonts w:ascii="宋体" w:hAnsi="宋体"/>
                <w:color w:val="auto"/>
                <w:kern w:val="0"/>
                <w:szCs w:val="21"/>
                <w:highlight w:val="none"/>
              </w:rPr>
            </w:pPr>
          </w:p>
        </w:tc>
      </w:tr>
      <w:tr w14:paraId="0AF21F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1" w:hRule="exact"/>
        </w:trPr>
        <w:tc>
          <w:tcPr>
            <w:tcW w:w="1862" w:type="dxa"/>
            <w:vMerge w:val="continue"/>
            <w:noWrap w:val="0"/>
            <w:vAlign w:val="center"/>
          </w:tcPr>
          <w:p w14:paraId="144B0454">
            <w:pPr>
              <w:autoSpaceDE w:val="0"/>
              <w:autoSpaceDN w:val="0"/>
              <w:adjustRightInd w:val="0"/>
              <w:snapToGrid w:val="0"/>
              <w:jc w:val="center"/>
              <w:rPr>
                <w:rFonts w:ascii="宋体" w:hAnsi="宋体"/>
                <w:color w:val="auto"/>
                <w:kern w:val="0"/>
                <w:szCs w:val="21"/>
                <w:highlight w:val="none"/>
              </w:rPr>
            </w:pPr>
          </w:p>
        </w:tc>
        <w:tc>
          <w:tcPr>
            <w:tcW w:w="967" w:type="dxa"/>
            <w:noWrap w:val="0"/>
            <w:vAlign w:val="center"/>
          </w:tcPr>
          <w:p w14:paraId="58DE394A">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noWrap w:val="0"/>
            <w:vAlign w:val="center"/>
          </w:tcPr>
          <w:p w14:paraId="086257F6">
            <w:pPr>
              <w:autoSpaceDE w:val="0"/>
              <w:autoSpaceDN w:val="0"/>
              <w:adjustRightInd w:val="0"/>
              <w:snapToGrid w:val="0"/>
              <w:jc w:val="center"/>
              <w:rPr>
                <w:rFonts w:ascii="宋体" w:hAnsi="宋体"/>
                <w:color w:val="auto"/>
                <w:kern w:val="0"/>
                <w:szCs w:val="21"/>
                <w:highlight w:val="none"/>
              </w:rPr>
            </w:pPr>
          </w:p>
        </w:tc>
        <w:tc>
          <w:tcPr>
            <w:tcW w:w="1392" w:type="dxa"/>
            <w:noWrap w:val="0"/>
            <w:vAlign w:val="center"/>
          </w:tcPr>
          <w:p w14:paraId="684BDF3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noWrap w:val="0"/>
            <w:vAlign w:val="center"/>
          </w:tcPr>
          <w:p w14:paraId="6397844C">
            <w:pPr>
              <w:autoSpaceDE w:val="0"/>
              <w:autoSpaceDN w:val="0"/>
              <w:adjustRightInd w:val="0"/>
              <w:snapToGrid w:val="0"/>
              <w:jc w:val="center"/>
              <w:rPr>
                <w:rFonts w:ascii="宋体" w:hAnsi="宋体"/>
                <w:color w:val="auto"/>
                <w:kern w:val="0"/>
                <w:szCs w:val="21"/>
                <w:highlight w:val="none"/>
              </w:rPr>
            </w:pPr>
          </w:p>
        </w:tc>
      </w:tr>
      <w:tr w14:paraId="084D97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exact"/>
        </w:trPr>
        <w:tc>
          <w:tcPr>
            <w:tcW w:w="1862" w:type="dxa"/>
            <w:noWrap w:val="0"/>
            <w:vAlign w:val="center"/>
          </w:tcPr>
          <w:p w14:paraId="63849F1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noWrap w:val="0"/>
            <w:vAlign w:val="center"/>
          </w:tcPr>
          <w:p w14:paraId="5C82B933">
            <w:pPr>
              <w:autoSpaceDE w:val="0"/>
              <w:autoSpaceDN w:val="0"/>
              <w:adjustRightInd w:val="0"/>
              <w:snapToGrid w:val="0"/>
              <w:jc w:val="center"/>
              <w:rPr>
                <w:rFonts w:ascii="宋体" w:hAnsi="宋体"/>
                <w:color w:val="auto"/>
                <w:kern w:val="0"/>
                <w:szCs w:val="21"/>
                <w:highlight w:val="none"/>
              </w:rPr>
            </w:pPr>
          </w:p>
        </w:tc>
      </w:tr>
      <w:tr w14:paraId="184B4C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1" w:hRule="exact"/>
        </w:trPr>
        <w:tc>
          <w:tcPr>
            <w:tcW w:w="1862" w:type="dxa"/>
            <w:noWrap w:val="0"/>
            <w:vAlign w:val="center"/>
          </w:tcPr>
          <w:p w14:paraId="7D2CF17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noWrap w:val="0"/>
            <w:vAlign w:val="center"/>
          </w:tcPr>
          <w:p w14:paraId="446F809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noWrap w:val="0"/>
            <w:vAlign w:val="center"/>
          </w:tcPr>
          <w:p w14:paraId="04820A9D">
            <w:pPr>
              <w:autoSpaceDE w:val="0"/>
              <w:autoSpaceDN w:val="0"/>
              <w:adjustRightInd w:val="0"/>
              <w:snapToGrid w:val="0"/>
              <w:jc w:val="center"/>
              <w:rPr>
                <w:rFonts w:ascii="宋体" w:hAnsi="宋体"/>
                <w:color w:val="auto"/>
                <w:kern w:val="0"/>
                <w:szCs w:val="21"/>
                <w:highlight w:val="none"/>
              </w:rPr>
            </w:pPr>
          </w:p>
        </w:tc>
        <w:tc>
          <w:tcPr>
            <w:tcW w:w="1356" w:type="dxa"/>
            <w:gridSpan w:val="2"/>
            <w:noWrap w:val="0"/>
            <w:vAlign w:val="center"/>
          </w:tcPr>
          <w:p w14:paraId="285F7F0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noWrap w:val="0"/>
            <w:vAlign w:val="center"/>
          </w:tcPr>
          <w:p w14:paraId="6F54C438">
            <w:pPr>
              <w:autoSpaceDE w:val="0"/>
              <w:autoSpaceDN w:val="0"/>
              <w:adjustRightInd w:val="0"/>
              <w:snapToGrid w:val="0"/>
              <w:jc w:val="center"/>
              <w:rPr>
                <w:rFonts w:ascii="宋体" w:hAnsi="宋体"/>
                <w:color w:val="auto"/>
                <w:kern w:val="0"/>
                <w:szCs w:val="21"/>
                <w:highlight w:val="none"/>
              </w:rPr>
            </w:pPr>
          </w:p>
        </w:tc>
        <w:tc>
          <w:tcPr>
            <w:tcW w:w="925" w:type="dxa"/>
            <w:noWrap w:val="0"/>
            <w:vAlign w:val="center"/>
          </w:tcPr>
          <w:p w14:paraId="150778E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noWrap w:val="0"/>
            <w:vAlign w:val="center"/>
          </w:tcPr>
          <w:p w14:paraId="4099CF2B">
            <w:pPr>
              <w:autoSpaceDE w:val="0"/>
              <w:autoSpaceDN w:val="0"/>
              <w:adjustRightInd w:val="0"/>
              <w:snapToGrid w:val="0"/>
              <w:jc w:val="center"/>
              <w:rPr>
                <w:rFonts w:ascii="宋体" w:hAnsi="宋体"/>
                <w:color w:val="auto"/>
                <w:kern w:val="0"/>
                <w:szCs w:val="21"/>
                <w:highlight w:val="none"/>
              </w:rPr>
            </w:pPr>
          </w:p>
        </w:tc>
      </w:tr>
      <w:tr w14:paraId="568F70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1" w:hRule="exact"/>
        </w:trPr>
        <w:tc>
          <w:tcPr>
            <w:tcW w:w="1862" w:type="dxa"/>
            <w:noWrap w:val="0"/>
            <w:vAlign w:val="center"/>
          </w:tcPr>
          <w:p w14:paraId="43079A4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noWrap w:val="0"/>
            <w:vAlign w:val="center"/>
          </w:tcPr>
          <w:p w14:paraId="7F5F2D8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noWrap w:val="0"/>
            <w:vAlign w:val="center"/>
          </w:tcPr>
          <w:p w14:paraId="34E8FC6C">
            <w:pPr>
              <w:autoSpaceDE w:val="0"/>
              <w:autoSpaceDN w:val="0"/>
              <w:adjustRightInd w:val="0"/>
              <w:snapToGrid w:val="0"/>
              <w:jc w:val="center"/>
              <w:rPr>
                <w:rFonts w:ascii="宋体" w:hAnsi="宋体"/>
                <w:color w:val="auto"/>
                <w:kern w:val="0"/>
                <w:szCs w:val="21"/>
                <w:highlight w:val="none"/>
              </w:rPr>
            </w:pPr>
          </w:p>
        </w:tc>
        <w:tc>
          <w:tcPr>
            <w:tcW w:w="1356" w:type="dxa"/>
            <w:gridSpan w:val="2"/>
            <w:noWrap w:val="0"/>
            <w:vAlign w:val="center"/>
          </w:tcPr>
          <w:p w14:paraId="1A2B35B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noWrap w:val="0"/>
            <w:vAlign w:val="center"/>
          </w:tcPr>
          <w:p w14:paraId="488828F3">
            <w:pPr>
              <w:autoSpaceDE w:val="0"/>
              <w:autoSpaceDN w:val="0"/>
              <w:adjustRightInd w:val="0"/>
              <w:snapToGrid w:val="0"/>
              <w:jc w:val="center"/>
              <w:rPr>
                <w:rFonts w:ascii="宋体" w:hAnsi="宋体"/>
                <w:color w:val="auto"/>
                <w:kern w:val="0"/>
                <w:szCs w:val="21"/>
                <w:highlight w:val="none"/>
              </w:rPr>
            </w:pPr>
          </w:p>
        </w:tc>
        <w:tc>
          <w:tcPr>
            <w:tcW w:w="925" w:type="dxa"/>
            <w:noWrap w:val="0"/>
            <w:vAlign w:val="center"/>
          </w:tcPr>
          <w:p w14:paraId="25FCBAF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noWrap w:val="0"/>
            <w:vAlign w:val="center"/>
          </w:tcPr>
          <w:p w14:paraId="6575B82D">
            <w:pPr>
              <w:autoSpaceDE w:val="0"/>
              <w:autoSpaceDN w:val="0"/>
              <w:adjustRightInd w:val="0"/>
              <w:snapToGrid w:val="0"/>
              <w:jc w:val="center"/>
              <w:rPr>
                <w:rFonts w:ascii="宋体" w:hAnsi="宋体"/>
                <w:color w:val="auto"/>
                <w:kern w:val="0"/>
                <w:szCs w:val="21"/>
                <w:highlight w:val="none"/>
              </w:rPr>
            </w:pPr>
          </w:p>
        </w:tc>
      </w:tr>
      <w:tr w14:paraId="49A875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1" w:hRule="exact"/>
        </w:trPr>
        <w:tc>
          <w:tcPr>
            <w:tcW w:w="1862" w:type="dxa"/>
            <w:noWrap w:val="0"/>
            <w:vAlign w:val="center"/>
          </w:tcPr>
          <w:p w14:paraId="0BF7F20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noWrap w:val="0"/>
            <w:vAlign w:val="center"/>
          </w:tcPr>
          <w:p w14:paraId="727EDE19">
            <w:pPr>
              <w:autoSpaceDE w:val="0"/>
              <w:autoSpaceDN w:val="0"/>
              <w:adjustRightInd w:val="0"/>
              <w:snapToGrid w:val="0"/>
              <w:jc w:val="center"/>
              <w:rPr>
                <w:rFonts w:ascii="宋体" w:hAnsi="宋体"/>
                <w:color w:val="auto"/>
                <w:kern w:val="0"/>
                <w:szCs w:val="21"/>
                <w:highlight w:val="none"/>
              </w:rPr>
            </w:pPr>
          </w:p>
        </w:tc>
        <w:tc>
          <w:tcPr>
            <w:tcW w:w="5616" w:type="dxa"/>
            <w:gridSpan w:val="7"/>
            <w:noWrap w:val="0"/>
            <w:vAlign w:val="center"/>
          </w:tcPr>
          <w:p w14:paraId="49F4A72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14:paraId="4D4F72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1" w:hRule="exact"/>
        </w:trPr>
        <w:tc>
          <w:tcPr>
            <w:tcW w:w="1862" w:type="dxa"/>
            <w:noWrap w:val="0"/>
            <w:vAlign w:val="center"/>
          </w:tcPr>
          <w:p w14:paraId="142F8C3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noWrap w:val="0"/>
            <w:vAlign w:val="center"/>
          </w:tcPr>
          <w:p w14:paraId="5C5689EA">
            <w:pPr>
              <w:autoSpaceDE w:val="0"/>
              <w:autoSpaceDN w:val="0"/>
              <w:adjustRightInd w:val="0"/>
              <w:snapToGrid w:val="0"/>
              <w:jc w:val="center"/>
              <w:rPr>
                <w:rFonts w:ascii="宋体" w:hAnsi="宋体"/>
                <w:color w:val="auto"/>
                <w:kern w:val="0"/>
                <w:szCs w:val="21"/>
                <w:highlight w:val="none"/>
              </w:rPr>
            </w:pPr>
          </w:p>
        </w:tc>
        <w:tc>
          <w:tcPr>
            <w:tcW w:w="904" w:type="dxa"/>
            <w:vMerge w:val="restart"/>
            <w:noWrap w:val="0"/>
            <w:vAlign w:val="center"/>
          </w:tcPr>
          <w:p w14:paraId="17BEEE1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noWrap w:val="0"/>
            <w:vAlign w:val="center"/>
          </w:tcPr>
          <w:p w14:paraId="4F72487C">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项目负责人</w:t>
            </w:r>
          </w:p>
        </w:tc>
        <w:tc>
          <w:tcPr>
            <w:tcW w:w="2236" w:type="dxa"/>
            <w:gridSpan w:val="2"/>
            <w:noWrap w:val="0"/>
            <w:vAlign w:val="center"/>
          </w:tcPr>
          <w:p w14:paraId="02977B3F">
            <w:pPr>
              <w:autoSpaceDE w:val="0"/>
              <w:autoSpaceDN w:val="0"/>
              <w:adjustRightInd w:val="0"/>
              <w:snapToGrid w:val="0"/>
              <w:jc w:val="center"/>
              <w:rPr>
                <w:rFonts w:ascii="宋体" w:hAnsi="宋体"/>
                <w:color w:val="auto"/>
                <w:kern w:val="0"/>
                <w:szCs w:val="21"/>
                <w:highlight w:val="none"/>
              </w:rPr>
            </w:pPr>
          </w:p>
        </w:tc>
      </w:tr>
      <w:tr w14:paraId="0CDD6D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1" w:hRule="exact"/>
        </w:trPr>
        <w:tc>
          <w:tcPr>
            <w:tcW w:w="1862" w:type="dxa"/>
            <w:noWrap w:val="0"/>
            <w:vAlign w:val="center"/>
          </w:tcPr>
          <w:p w14:paraId="0E0A9A1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营业执照号</w:t>
            </w:r>
          </w:p>
        </w:tc>
        <w:tc>
          <w:tcPr>
            <w:tcW w:w="1991" w:type="dxa"/>
            <w:gridSpan w:val="2"/>
            <w:noWrap w:val="0"/>
            <w:vAlign w:val="center"/>
          </w:tcPr>
          <w:p w14:paraId="02EDE546">
            <w:pPr>
              <w:autoSpaceDE w:val="0"/>
              <w:autoSpaceDN w:val="0"/>
              <w:adjustRightInd w:val="0"/>
              <w:snapToGrid w:val="0"/>
              <w:jc w:val="center"/>
              <w:rPr>
                <w:rFonts w:ascii="宋体" w:hAnsi="宋体"/>
                <w:color w:val="auto"/>
                <w:kern w:val="0"/>
                <w:szCs w:val="21"/>
                <w:highlight w:val="none"/>
              </w:rPr>
            </w:pPr>
          </w:p>
        </w:tc>
        <w:tc>
          <w:tcPr>
            <w:tcW w:w="904" w:type="dxa"/>
            <w:vMerge w:val="continue"/>
            <w:noWrap w:val="0"/>
            <w:vAlign w:val="center"/>
          </w:tcPr>
          <w:p w14:paraId="4FB6CC4F">
            <w:pPr>
              <w:autoSpaceDE w:val="0"/>
              <w:autoSpaceDN w:val="0"/>
              <w:adjustRightInd w:val="0"/>
              <w:snapToGrid w:val="0"/>
              <w:jc w:val="center"/>
              <w:rPr>
                <w:rFonts w:ascii="宋体" w:hAnsi="宋体"/>
                <w:color w:val="auto"/>
                <w:kern w:val="0"/>
                <w:szCs w:val="21"/>
                <w:highlight w:val="none"/>
              </w:rPr>
            </w:pPr>
          </w:p>
        </w:tc>
        <w:tc>
          <w:tcPr>
            <w:tcW w:w="2476" w:type="dxa"/>
            <w:gridSpan w:val="4"/>
            <w:noWrap w:val="0"/>
            <w:vAlign w:val="center"/>
          </w:tcPr>
          <w:p w14:paraId="4AE9933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noWrap w:val="0"/>
            <w:vAlign w:val="center"/>
          </w:tcPr>
          <w:p w14:paraId="3443ED59">
            <w:pPr>
              <w:autoSpaceDE w:val="0"/>
              <w:autoSpaceDN w:val="0"/>
              <w:adjustRightInd w:val="0"/>
              <w:snapToGrid w:val="0"/>
              <w:jc w:val="center"/>
              <w:rPr>
                <w:rFonts w:ascii="宋体" w:hAnsi="宋体"/>
                <w:color w:val="auto"/>
                <w:kern w:val="0"/>
                <w:szCs w:val="21"/>
                <w:highlight w:val="none"/>
              </w:rPr>
            </w:pPr>
          </w:p>
        </w:tc>
      </w:tr>
      <w:tr w14:paraId="4EEE6F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1" w:hRule="exact"/>
        </w:trPr>
        <w:tc>
          <w:tcPr>
            <w:tcW w:w="1862" w:type="dxa"/>
            <w:noWrap w:val="0"/>
            <w:vAlign w:val="center"/>
          </w:tcPr>
          <w:p w14:paraId="3CB82B1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noWrap w:val="0"/>
            <w:vAlign w:val="center"/>
          </w:tcPr>
          <w:p w14:paraId="0F3BADC6">
            <w:pPr>
              <w:autoSpaceDE w:val="0"/>
              <w:autoSpaceDN w:val="0"/>
              <w:adjustRightInd w:val="0"/>
              <w:snapToGrid w:val="0"/>
              <w:jc w:val="center"/>
              <w:rPr>
                <w:rFonts w:ascii="宋体" w:hAnsi="宋体"/>
                <w:color w:val="auto"/>
                <w:kern w:val="0"/>
                <w:szCs w:val="21"/>
                <w:highlight w:val="none"/>
              </w:rPr>
            </w:pPr>
          </w:p>
        </w:tc>
        <w:tc>
          <w:tcPr>
            <w:tcW w:w="904" w:type="dxa"/>
            <w:vMerge w:val="continue"/>
            <w:noWrap w:val="0"/>
            <w:vAlign w:val="center"/>
          </w:tcPr>
          <w:p w14:paraId="3E429583">
            <w:pPr>
              <w:autoSpaceDE w:val="0"/>
              <w:autoSpaceDN w:val="0"/>
              <w:adjustRightInd w:val="0"/>
              <w:snapToGrid w:val="0"/>
              <w:jc w:val="center"/>
              <w:rPr>
                <w:rFonts w:ascii="宋体" w:hAnsi="宋体"/>
                <w:color w:val="auto"/>
                <w:kern w:val="0"/>
                <w:szCs w:val="21"/>
                <w:highlight w:val="none"/>
              </w:rPr>
            </w:pPr>
          </w:p>
        </w:tc>
        <w:tc>
          <w:tcPr>
            <w:tcW w:w="2476" w:type="dxa"/>
            <w:gridSpan w:val="4"/>
            <w:noWrap w:val="0"/>
            <w:vAlign w:val="center"/>
          </w:tcPr>
          <w:p w14:paraId="4D12874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noWrap w:val="0"/>
            <w:vAlign w:val="center"/>
          </w:tcPr>
          <w:p w14:paraId="174551BE">
            <w:pPr>
              <w:autoSpaceDE w:val="0"/>
              <w:autoSpaceDN w:val="0"/>
              <w:adjustRightInd w:val="0"/>
              <w:snapToGrid w:val="0"/>
              <w:jc w:val="center"/>
              <w:rPr>
                <w:rFonts w:ascii="宋体" w:hAnsi="宋体"/>
                <w:color w:val="auto"/>
                <w:kern w:val="0"/>
                <w:szCs w:val="21"/>
                <w:highlight w:val="none"/>
              </w:rPr>
            </w:pPr>
          </w:p>
        </w:tc>
      </w:tr>
      <w:tr w14:paraId="69C390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1" w:hRule="exact"/>
        </w:trPr>
        <w:tc>
          <w:tcPr>
            <w:tcW w:w="1862" w:type="dxa"/>
            <w:noWrap w:val="0"/>
            <w:vAlign w:val="center"/>
          </w:tcPr>
          <w:p w14:paraId="4D73909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noWrap w:val="0"/>
            <w:vAlign w:val="center"/>
          </w:tcPr>
          <w:p w14:paraId="78E6E6C6">
            <w:pPr>
              <w:autoSpaceDE w:val="0"/>
              <w:autoSpaceDN w:val="0"/>
              <w:adjustRightInd w:val="0"/>
              <w:snapToGrid w:val="0"/>
              <w:jc w:val="center"/>
              <w:rPr>
                <w:rFonts w:ascii="宋体" w:hAnsi="宋体"/>
                <w:color w:val="auto"/>
                <w:kern w:val="0"/>
                <w:szCs w:val="21"/>
                <w:highlight w:val="none"/>
              </w:rPr>
            </w:pPr>
          </w:p>
        </w:tc>
        <w:tc>
          <w:tcPr>
            <w:tcW w:w="904" w:type="dxa"/>
            <w:vMerge w:val="continue"/>
            <w:noWrap w:val="0"/>
            <w:vAlign w:val="center"/>
          </w:tcPr>
          <w:p w14:paraId="59047AC9">
            <w:pPr>
              <w:autoSpaceDE w:val="0"/>
              <w:autoSpaceDN w:val="0"/>
              <w:adjustRightInd w:val="0"/>
              <w:snapToGrid w:val="0"/>
              <w:jc w:val="center"/>
              <w:rPr>
                <w:rFonts w:ascii="宋体" w:hAnsi="宋体"/>
                <w:color w:val="auto"/>
                <w:kern w:val="0"/>
                <w:szCs w:val="21"/>
                <w:highlight w:val="none"/>
              </w:rPr>
            </w:pPr>
          </w:p>
        </w:tc>
        <w:tc>
          <w:tcPr>
            <w:tcW w:w="2476" w:type="dxa"/>
            <w:gridSpan w:val="4"/>
            <w:noWrap w:val="0"/>
            <w:vAlign w:val="center"/>
          </w:tcPr>
          <w:p w14:paraId="3B52503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noWrap w:val="0"/>
            <w:vAlign w:val="center"/>
          </w:tcPr>
          <w:p w14:paraId="56A2E46A">
            <w:pPr>
              <w:autoSpaceDE w:val="0"/>
              <w:autoSpaceDN w:val="0"/>
              <w:adjustRightInd w:val="0"/>
              <w:snapToGrid w:val="0"/>
              <w:jc w:val="center"/>
              <w:rPr>
                <w:rFonts w:ascii="宋体" w:hAnsi="宋体"/>
                <w:color w:val="auto"/>
                <w:kern w:val="0"/>
                <w:szCs w:val="21"/>
                <w:highlight w:val="none"/>
              </w:rPr>
            </w:pPr>
          </w:p>
        </w:tc>
      </w:tr>
      <w:tr w14:paraId="6E5902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1" w:hRule="exact"/>
        </w:trPr>
        <w:tc>
          <w:tcPr>
            <w:tcW w:w="1862" w:type="dxa"/>
            <w:noWrap w:val="0"/>
            <w:vAlign w:val="center"/>
          </w:tcPr>
          <w:p w14:paraId="2D01B8B8">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noWrap w:val="0"/>
            <w:vAlign w:val="center"/>
          </w:tcPr>
          <w:p w14:paraId="69E775E0">
            <w:pPr>
              <w:autoSpaceDE w:val="0"/>
              <w:autoSpaceDN w:val="0"/>
              <w:adjustRightInd w:val="0"/>
              <w:snapToGrid w:val="0"/>
              <w:jc w:val="center"/>
              <w:rPr>
                <w:rFonts w:ascii="宋体" w:hAnsi="宋体"/>
                <w:color w:val="auto"/>
                <w:kern w:val="0"/>
                <w:szCs w:val="21"/>
                <w:highlight w:val="none"/>
              </w:rPr>
            </w:pPr>
          </w:p>
        </w:tc>
        <w:tc>
          <w:tcPr>
            <w:tcW w:w="904" w:type="dxa"/>
            <w:vMerge w:val="continue"/>
            <w:noWrap w:val="0"/>
            <w:vAlign w:val="center"/>
          </w:tcPr>
          <w:p w14:paraId="6C6A3A3C">
            <w:pPr>
              <w:autoSpaceDE w:val="0"/>
              <w:autoSpaceDN w:val="0"/>
              <w:adjustRightInd w:val="0"/>
              <w:snapToGrid w:val="0"/>
              <w:jc w:val="center"/>
              <w:rPr>
                <w:rFonts w:ascii="宋体" w:hAnsi="宋体"/>
                <w:color w:val="auto"/>
                <w:kern w:val="0"/>
                <w:szCs w:val="21"/>
                <w:highlight w:val="none"/>
              </w:rPr>
            </w:pPr>
          </w:p>
        </w:tc>
        <w:tc>
          <w:tcPr>
            <w:tcW w:w="2476" w:type="dxa"/>
            <w:gridSpan w:val="4"/>
            <w:noWrap w:val="0"/>
            <w:vAlign w:val="center"/>
          </w:tcPr>
          <w:p w14:paraId="429F207C">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   工</w:t>
            </w:r>
          </w:p>
        </w:tc>
        <w:tc>
          <w:tcPr>
            <w:tcW w:w="2236" w:type="dxa"/>
            <w:gridSpan w:val="2"/>
            <w:noWrap w:val="0"/>
            <w:vAlign w:val="center"/>
          </w:tcPr>
          <w:p w14:paraId="2AF772D4">
            <w:pPr>
              <w:autoSpaceDE w:val="0"/>
              <w:autoSpaceDN w:val="0"/>
              <w:adjustRightInd w:val="0"/>
              <w:snapToGrid w:val="0"/>
              <w:jc w:val="center"/>
              <w:rPr>
                <w:rFonts w:ascii="宋体" w:hAnsi="宋体"/>
                <w:color w:val="auto"/>
                <w:kern w:val="0"/>
                <w:szCs w:val="21"/>
                <w:highlight w:val="none"/>
              </w:rPr>
            </w:pPr>
          </w:p>
        </w:tc>
      </w:tr>
      <w:tr w14:paraId="38866C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16" w:hRule="exact"/>
        </w:trPr>
        <w:tc>
          <w:tcPr>
            <w:tcW w:w="1862" w:type="dxa"/>
            <w:noWrap w:val="0"/>
            <w:vAlign w:val="center"/>
          </w:tcPr>
          <w:p w14:paraId="118FD6C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noWrap w:val="0"/>
            <w:vAlign w:val="center"/>
          </w:tcPr>
          <w:p w14:paraId="50733749">
            <w:pPr>
              <w:autoSpaceDE w:val="0"/>
              <w:autoSpaceDN w:val="0"/>
              <w:adjustRightInd w:val="0"/>
              <w:snapToGrid w:val="0"/>
              <w:jc w:val="center"/>
              <w:rPr>
                <w:rFonts w:ascii="宋体" w:hAnsi="宋体"/>
                <w:color w:val="auto"/>
                <w:kern w:val="0"/>
                <w:szCs w:val="21"/>
                <w:highlight w:val="none"/>
              </w:rPr>
            </w:pPr>
          </w:p>
        </w:tc>
      </w:tr>
      <w:tr w14:paraId="0B8C01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exact"/>
        </w:trPr>
        <w:tc>
          <w:tcPr>
            <w:tcW w:w="1862" w:type="dxa"/>
            <w:noWrap w:val="0"/>
            <w:vAlign w:val="center"/>
          </w:tcPr>
          <w:p w14:paraId="76419FD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noWrap w:val="0"/>
            <w:vAlign w:val="center"/>
          </w:tcPr>
          <w:p w14:paraId="279152FC">
            <w:pPr>
              <w:autoSpaceDE w:val="0"/>
              <w:autoSpaceDN w:val="0"/>
              <w:adjustRightInd w:val="0"/>
              <w:snapToGrid w:val="0"/>
              <w:jc w:val="center"/>
              <w:rPr>
                <w:rFonts w:ascii="宋体" w:hAnsi="宋体"/>
                <w:color w:val="auto"/>
                <w:kern w:val="0"/>
                <w:szCs w:val="21"/>
                <w:highlight w:val="none"/>
              </w:rPr>
            </w:pPr>
          </w:p>
        </w:tc>
      </w:tr>
    </w:tbl>
    <w:p w14:paraId="2B10E643">
      <w:pPr>
        <w:pStyle w:val="6"/>
        <w:spacing w:before="0"/>
        <w:jc w:val="center"/>
        <w:rPr>
          <w:rFonts w:ascii="宋体" w:hAnsi="宋体"/>
          <w:b w:val="0"/>
          <w:color w:val="auto"/>
          <w:highlight w:val="none"/>
        </w:rPr>
      </w:pPr>
      <w:r>
        <w:rPr>
          <w:rFonts w:ascii="宋体" w:hAnsi="宋体"/>
          <w:color w:val="auto"/>
          <w:szCs w:val="21"/>
          <w:highlight w:val="none"/>
        </w:rPr>
        <w:br w:type="page"/>
      </w:r>
      <w:bookmarkStart w:id="59" w:name="_Toc42269748"/>
      <w:bookmarkStart w:id="60" w:name="_Toc534185840"/>
      <w:bookmarkStart w:id="61" w:name="_Toc16068"/>
      <w:bookmarkStart w:id="62" w:name="_Toc9965"/>
      <w:bookmarkStart w:id="63" w:name="_Toc509218863"/>
      <w:bookmarkStart w:id="64" w:name="_Toc6724"/>
      <w:r>
        <w:rPr>
          <w:rFonts w:hint="eastAsia" w:ascii="宋体" w:hAnsi="宋体" w:eastAsia="宋体"/>
          <w:bCs/>
          <w:color w:val="auto"/>
          <w:kern w:val="2"/>
          <w:sz w:val="32"/>
          <w:szCs w:val="32"/>
          <w:highlight w:val="none"/>
        </w:rPr>
        <w:t>3.项目管理机构</w:t>
      </w:r>
      <w:bookmarkEnd w:id="59"/>
      <w:bookmarkEnd w:id="60"/>
      <w:bookmarkEnd w:id="61"/>
      <w:bookmarkEnd w:id="62"/>
      <w:bookmarkEnd w:id="63"/>
      <w:bookmarkEnd w:id="64"/>
    </w:p>
    <w:tbl>
      <w:tblPr>
        <w:tblStyle w:val="1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98"/>
        <w:gridCol w:w="1099"/>
        <w:gridCol w:w="1521"/>
        <w:gridCol w:w="825"/>
        <w:gridCol w:w="1393"/>
        <w:gridCol w:w="1243"/>
        <w:gridCol w:w="1201"/>
        <w:gridCol w:w="1028"/>
      </w:tblGrid>
      <w:tr w14:paraId="4355A5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vMerge w:val="restart"/>
            <w:noWrap w:val="0"/>
            <w:vAlign w:val="center"/>
          </w:tcPr>
          <w:p w14:paraId="3CF5DDE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1099" w:type="dxa"/>
            <w:vMerge w:val="restart"/>
            <w:noWrap w:val="0"/>
            <w:vAlign w:val="center"/>
          </w:tcPr>
          <w:p w14:paraId="1B1F662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6183" w:type="dxa"/>
            <w:gridSpan w:val="5"/>
            <w:noWrap w:val="0"/>
            <w:vAlign w:val="center"/>
          </w:tcPr>
          <w:p w14:paraId="7D9ACBB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1028" w:type="dxa"/>
            <w:noWrap w:val="0"/>
            <w:vAlign w:val="center"/>
          </w:tcPr>
          <w:p w14:paraId="344E649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14:paraId="6B6978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vMerge w:val="continue"/>
            <w:noWrap w:val="0"/>
            <w:vAlign w:val="top"/>
          </w:tcPr>
          <w:p w14:paraId="7AF469CC">
            <w:pPr>
              <w:autoSpaceDE w:val="0"/>
              <w:autoSpaceDN w:val="0"/>
              <w:adjustRightInd w:val="0"/>
              <w:snapToGrid w:val="0"/>
              <w:jc w:val="left"/>
              <w:rPr>
                <w:rFonts w:ascii="宋体" w:hAnsi="宋体"/>
                <w:color w:val="auto"/>
                <w:kern w:val="0"/>
                <w:szCs w:val="21"/>
                <w:highlight w:val="none"/>
              </w:rPr>
            </w:pPr>
          </w:p>
        </w:tc>
        <w:tc>
          <w:tcPr>
            <w:tcW w:w="1099" w:type="dxa"/>
            <w:vMerge w:val="continue"/>
            <w:noWrap w:val="0"/>
            <w:vAlign w:val="top"/>
          </w:tcPr>
          <w:p w14:paraId="608C50D4">
            <w:pPr>
              <w:autoSpaceDE w:val="0"/>
              <w:autoSpaceDN w:val="0"/>
              <w:adjustRightInd w:val="0"/>
              <w:snapToGrid w:val="0"/>
              <w:jc w:val="left"/>
              <w:rPr>
                <w:rFonts w:ascii="宋体" w:hAnsi="宋体"/>
                <w:color w:val="auto"/>
                <w:kern w:val="0"/>
                <w:szCs w:val="21"/>
                <w:highlight w:val="none"/>
              </w:rPr>
            </w:pPr>
          </w:p>
        </w:tc>
        <w:tc>
          <w:tcPr>
            <w:tcW w:w="1521" w:type="dxa"/>
            <w:noWrap w:val="0"/>
            <w:vAlign w:val="center"/>
          </w:tcPr>
          <w:p w14:paraId="0D176F1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825" w:type="dxa"/>
            <w:noWrap w:val="0"/>
            <w:vAlign w:val="center"/>
          </w:tcPr>
          <w:p w14:paraId="0820F4E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1393" w:type="dxa"/>
            <w:noWrap w:val="0"/>
            <w:vAlign w:val="center"/>
          </w:tcPr>
          <w:p w14:paraId="2FE1A2A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1243" w:type="dxa"/>
            <w:noWrap w:val="0"/>
            <w:vAlign w:val="center"/>
          </w:tcPr>
          <w:p w14:paraId="59962DE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1201" w:type="dxa"/>
            <w:noWrap w:val="0"/>
            <w:vAlign w:val="center"/>
          </w:tcPr>
          <w:p w14:paraId="61E6C10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1028" w:type="dxa"/>
            <w:noWrap w:val="0"/>
            <w:vAlign w:val="top"/>
          </w:tcPr>
          <w:p w14:paraId="64FF06FA">
            <w:pPr>
              <w:autoSpaceDE w:val="0"/>
              <w:autoSpaceDN w:val="0"/>
              <w:adjustRightInd w:val="0"/>
              <w:snapToGrid w:val="0"/>
              <w:jc w:val="left"/>
              <w:rPr>
                <w:rFonts w:ascii="宋体" w:hAnsi="宋体"/>
                <w:color w:val="auto"/>
                <w:kern w:val="0"/>
                <w:szCs w:val="21"/>
                <w:highlight w:val="none"/>
              </w:rPr>
            </w:pPr>
          </w:p>
        </w:tc>
      </w:tr>
      <w:tr w14:paraId="51E975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4D8953AF">
            <w:pPr>
              <w:autoSpaceDE w:val="0"/>
              <w:autoSpaceDN w:val="0"/>
              <w:adjustRightInd w:val="0"/>
              <w:snapToGrid w:val="0"/>
              <w:jc w:val="center"/>
              <w:rPr>
                <w:rFonts w:hint="eastAsia" w:ascii="宋体" w:hAnsi="宋体"/>
                <w:color w:val="auto"/>
                <w:kern w:val="0"/>
                <w:szCs w:val="21"/>
                <w:highlight w:val="none"/>
              </w:rPr>
            </w:pPr>
          </w:p>
        </w:tc>
        <w:tc>
          <w:tcPr>
            <w:tcW w:w="1099" w:type="dxa"/>
            <w:noWrap w:val="0"/>
            <w:vAlign w:val="top"/>
          </w:tcPr>
          <w:p w14:paraId="197A6497">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32816463">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1D68EF56">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7D783305">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0D68CF63">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69773666">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7976EED6">
            <w:pPr>
              <w:autoSpaceDE w:val="0"/>
              <w:autoSpaceDN w:val="0"/>
              <w:adjustRightInd w:val="0"/>
              <w:snapToGrid w:val="0"/>
              <w:jc w:val="left"/>
              <w:rPr>
                <w:rFonts w:ascii="宋体" w:hAnsi="宋体"/>
                <w:color w:val="auto"/>
                <w:kern w:val="0"/>
                <w:szCs w:val="21"/>
                <w:highlight w:val="none"/>
              </w:rPr>
            </w:pPr>
          </w:p>
        </w:tc>
      </w:tr>
      <w:tr w14:paraId="38EA17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40" w:hRule="exact"/>
          <w:jc w:val="center"/>
        </w:trPr>
        <w:tc>
          <w:tcPr>
            <w:tcW w:w="1198" w:type="dxa"/>
            <w:noWrap w:val="0"/>
            <w:vAlign w:val="center"/>
          </w:tcPr>
          <w:p w14:paraId="3D7C8016">
            <w:pPr>
              <w:autoSpaceDE w:val="0"/>
              <w:autoSpaceDN w:val="0"/>
              <w:adjustRightInd w:val="0"/>
              <w:snapToGrid w:val="0"/>
              <w:jc w:val="center"/>
              <w:rPr>
                <w:rFonts w:hint="eastAsia" w:ascii="宋体" w:hAnsi="宋体"/>
                <w:color w:val="auto"/>
                <w:kern w:val="0"/>
                <w:szCs w:val="21"/>
                <w:highlight w:val="none"/>
              </w:rPr>
            </w:pPr>
          </w:p>
        </w:tc>
        <w:tc>
          <w:tcPr>
            <w:tcW w:w="1099" w:type="dxa"/>
            <w:noWrap w:val="0"/>
            <w:vAlign w:val="top"/>
          </w:tcPr>
          <w:p w14:paraId="12FEA438">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7AF042EA">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66F68CB8">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02380717">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7C0B7988">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72DABA1C">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00670EFE">
            <w:pPr>
              <w:autoSpaceDE w:val="0"/>
              <w:autoSpaceDN w:val="0"/>
              <w:adjustRightInd w:val="0"/>
              <w:snapToGrid w:val="0"/>
              <w:jc w:val="left"/>
              <w:rPr>
                <w:rFonts w:ascii="宋体" w:hAnsi="宋体"/>
                <w:color w:val="auto"/>
                <w:kern w:val="0"/>
                <w:szCs w:val="21"/>
                <w:highlight w:val="none"/>
              </w:rPr>
            </w:pPr>
          </w:p>
        </w:tc>
      </w:tr>
      <w:tr w14:paraId="5B2BA8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2D488AE6">
            <w:pPr>
              <w:autoSpaceDE w:val="0"/>
              <w:autoSpaceDN w:val="0"/>
              <w:adjustRightInd w:val="0"/>
              <w:snapToGrid w:val="0"/>
              <w:jc w:val="center"/>
              <w:rPr>
                <w:rFonts w:hint="eastAsia" w:ascii="宋体" w:hAnsi="宋体"/>
                <w:color w:val="auto"/>
                <w:kern w:val="0"/>
                <w:szCs w:val="21"/>
                <w:highlight w:val="none"/>
              </w:rPr>
            </w:pPr>
          </w:p>
        </w:tc>
        <w:tc>
          <w:tcPr>
            <w:tcW w:w="1099" w:type="dxa"/>
            <w:noWrap w:val="0"/>
            <w:vAlign w:val="top"/>
          </w:tcPr>
          <w:p w14:paraId="7A823586">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68A99EDF">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57736ADC">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57F712A9">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7D555222">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1CF1707E">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5109FD30">
            <w:pPr>
              <w:autoSpaceDE w:val="0"/>
              <w:autoSpaceDN w:val="0"/>
              <w:adjustRightInd w:val="0"/>
              <w:snapToGrid w:val="0"/>
              <w:jc w:val="left"/>
              <w:rPr>
                <w:rFonts w:ascii="宋体" w:hAnsi="宋体"/>
                <w:color w:val="auto"/>
                <w:kern w:val="0"/>
                <w:szCs w:val="21"/>
                <w:highlight w:val="none"/>
              </w:rPr>
            </w:pPr>
          </w:p>
        </w:tc>
      </w:tr>
      <w:tr w14:paraId="6D2012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56F54AC2">
            <w:pPr>
              <w:autoSpaceDE w:val="0"/>
              <w:autoSpaceDN w:val="0"/>
              <w:adjustRightInd w:val="0"/>
              <w:snapToGrid w:val="0"/>
              <w:jc w:val="center"/>
              <w:rPr>
                <w:rFonts w:hint="eastAsia" w:ascii="宋体" w:hAnsi="宋体"/>
                <w:color w:val="auto"/>
                <w:kern w:val="0"/>
                <w:szCs w:val="21"/>
                <w:highlight w:val="none"/>
              </w:rPr>
            </w:pPr>
          </w:p>
        </w:tc>
        <w:tc>
          <w:tcPr>
            <w:tcW w:w="1099" w:type="dxa"/>
            <w:noWrap w:val="0"/>
            <w:vAlign w:val="top"/>
          </w:tcPr>
          <w:p w14:paraId="0C30233F">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6F6617F2">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12A0ABB6">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343A1C34">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54A23E02">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5EAB50EB">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6A999535">
            <w:pPr>
              <w:autoSpaceDE w:val="0"/>
              <w:autoSpaceDN w:val="0"/>
              <w:adjustRightInd w:val="0"/>
              <w:snapToGrid w:val="0"/>
              <w:jc w:val="left"/>
              <w:rPr>
                <w:rFonts w:ascii="宋体" w:hAnsi="宋体"/>
                <w:color w:val="auto"/>
                <w:kern w:val="0"/>
                <w:szCs w:val="21"/>
                <w:highlight w:val="none"/>
              </w:rPr>
            </w:pPr>
          </w:p>
        </w:tc>
      </w:tr>
      <w:tr w14:paraId="63917F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116DD0BD">
            <w:pPr>
              <w:autoSpaceDE w:val="0"/>
              <w:autoSpaceDN w:val="0"/>
              <w:adjustRightInd w:val="0"/>
              <w:snapToGrid w:val="0"/>
              <w:jc w:val="center"/>
              <w:rPr>
                <w:rFonts w:ascii="宋体" w:hAnsi="宋体"/>
                <w:color w:val="auto"/>
                <w:kern w:val="0"/>
                <w:szCs w:val="21"/>
                <w:highlight w:val="none"/>
              </w:rPr>
            </w:pPr>
          </w:p>
        </w:tc>
        <w:tc>
          <w:tcPr>
            <w:tcW w:w="1099" w:type="dxa"/>
            <w:noWrap w:val="0"/>
            <w:vAlign w:val="top"/>
          </w:tcPr>
          <w:p w14:paraId="31463ABC">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434F270A">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4C957907">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431B5C40">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6EDD8D51">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6E5409B4">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0D7B6FF8">
            <w:pPr>
              <w:autoSpaceDE w:val="0"/>
              <w:autoSpaceDN w:val="0"/>
              <w:adjustRightInd w:val="0"/>
              <w:snapToGrid w:val="0"/>
              <w:jc w:val="left"/>
              <w:rPr>
                <w:rFonts w:ascii="宋体" w:hAnsi="宋体"/>
                <w:color w:val="auto"/>
                <w:kern w:val="0"/>
                <w:szCs w:val="21"/>
                <w:highlight w:val="none"/>
              </w:rPr>
            </w:pPr>
          </w:p>
        </w:tc>
      </w:tr>
      <w:tr w14:paraId="7AA6F8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3E12F872">
            <w:pPr>
              <w:autoSpaceDE w:val="0"/>
              <w:autoSpaceDN w:val="0"/>
              <w:adjustRightInd w:val="0"/>
              <w:snapToGrid w:val="0"/>
              <w:jc w:val="center"/>
              <w:rPr>
                <w:rFonts w:ascii="宋体" w:hAnsi="宋体"/>
                <w:color w:val="auto"/>
                <w:kern w:val="0"/>
                <w:szCs w:val="21"/>
                <w:highlight w:val="none"/>
              </w:rPr>
            </w:pPr>
          </w:p>
        </w:tc>
        <w:tc>
          <w:tcPr>
            <w:tcW w:w="1099" w:type="dxa"/>
            <w:noWrap w:val="0"/>
            <w:vAlign w:val="top"/>
          </w:tcPr>
          <w:p w14:paraId="56AEE745">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771FB909">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2D866F3E">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1879FF23">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0791FE4B">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1C4DF7EF">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10CE36E4">
            <w:pPr>
              <w:autoSpaceDE w:val="0"/>
              <w:autoSpaceDN w:val="0"/>
              <w:adjustRightInd w:val="0"/>
              <w:snapToGrid w:val="0"/>
              <w:jc w:val="left"/>
              <w:rPr>
                <w:rFonts w:ascii="宋体" w:hAnsi="宋体"/>
                <w:color w:val="auto"/>
                <w:kern w:val="0"/>
                <w:szCs w:val="21"/>
                <w:highlight w:val="none"/>
              </w:rPr>
            </w:pPr>
          </w:p>
        </w:tc>
      </w:tr>
      <w:tr w14:paraId="765712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16579FE9">
            <w:pPr>
              <w:autoSpaceDE w:val="0"/>
              <w:autoSpaceDN w:val="0"/>
              <w:adjustRightInd w:val="0"/>
              <w:snapToGrid w:val="0"/>
              <w:jc w:val="left"/>
              <w:rPr>
                <w:rFonts w:ascii="宋体" w:hAnsi="宋体"/>
                <w:color w:val="auto"/>
                <w:kern w:val="0"/>
                <w:szCs w:val="21"/>
                <w:highlight w:val="none"/>
              </w:rPr>
            </w:pPr>
          </w:p>
        </w:tc>
        <w:tc>
          <w:tcPr>
            <w:tcW w:w="1099" w:type="dxa"/>
            <w:noWrap w:val="0"/>
            <w:vAlign w:val="top"/>
          </w:tcPr>
          <w:p w14:paraId="438EA14A">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78DF05ED">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1CE4EC0F">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594A58A1">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505948EF">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6B34515D">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1233830C">
            <w:pPr>
              <w:autoSpaceDE w:val="0"/>
              <w:autoSpaceDN w:val="0"/>
              <w:adjustRightInd w:val="0"/>
              <w:snapToGrid w:val="0"/>
              <w:jc w:val="left"/>
              <w:rPr>
                <w:rFonts w:ascii="宋体" w:hAnsi="宋体"/>
                <w:color w:val="auto"/>
                <w:kern w:val="0"/>
                <w:szCs w:val="21"/>
                <w:highlight w:val="none"/>
              </w:rPr>
            </w:pPr>
          </w:p>
        </w:tc>
      </w:tr>
      <w:tr w14:paraId="159A12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5F3C44C9">
            <w:pPr>
              <w:autoSpaceDE w:val="0"/>
              <w:autoSpaceDN w:val="0"/>
              <w:adjustRightInd w:val="0"/>
              <w:snapToGrid w:val="0"/>
              <w:jc w:val="left"/>
              <w:rPr>
                <w:rFonts w:ascii="宋体" w:hAnsi="宋体"/>
                <w:color w:val="auto"/>
                <w:kern w:val="0"/>
                <w:szCs w:val="21"/>
                <w:highlight w:val="none"/>
              </w:rPr>
            </w:pPr>
          </w:p>
        </w:tc>
        <w:tc>
          <w:tcPr>
            <w:tcW w:w="1099" w:type="dxa"/>
            <w:noWrap w:val="0"/>
            <w:vAlign w:val="top"/>
          </w:tcPr>
          <w:p w14:paraId="570A6DDE">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74E99BA3">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3083BF2D">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3BD2F647">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7A8D4A2B">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030CD4CB">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72C3CA79">
            <w:pPr>
              <w:autoSpaceDE w:val="0"/>
              <w:autoSpaceDN w:val="0"/>
              <w:adjustRightInd w:val="0"/>
              <w:snapToGrid w:val="0"/>
              <w:jc w:val="left"/>
              <w:rPr>
                <w:rFonts w:ascii="宋体" w:hAnsi="宋体"/>
                <w:color w:val="auto"/>
                <w:kern w:val="0"/>
                <w:szCs w:val="21"/>
                <w:highlight w:val="none"/>
              </w:rPr>
            </w:pPr>
          </w:p>
        </w:tc>
      </w:tr>
      <w:tr w14:paraId="1B5358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115C2BCA">
            <w:pPr>
              <w:autoSpaceDE w:val="0"/>
              <w:autoSpaceDN w:val="0"/>
              <w:adjustRightInd w:val="0"/>
              <w:snapToGrid w:val="0"/>
              <w:jc w:val="left"/>
              <w:rPr>
                <w:rFonts w:ascii="宋体" w:hAnsi="宋体"/>
                <w:color w:val="auto"/>
                <w:kern w:val="0"/>
                <w:szCs w:val="21"/>
                <w:highlight w:val="none"/>
              </w:rPr>
            </w:pPr>
          </w:p>
        </w:tc>
        <w:tc>
          <w:tcPr>
            <w:tcW w:w="1099" w:type="dxa"/>
            <w:noWrap w:val="0"/>
            <w:vAlign w:val="top"/>
          </w:tcPr>
          <w:p w14:paraId="662B6A78">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73119EBA">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5E4C3BAF">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460C4E25">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74C61D4A">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146BC4FE">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39644E82">
            <w:pPr>
              <w:autoSpaceDE w:val="0"/>
              <w:autoSpaceDN w:val="0"/>
              <w:adjustRightInd w:val="0"/>
              <w:snapToGrid w:val="0"/>
              <w:jc w:val="left"/>
              <w:rPr>
                <w:rFonts w:ascii="宋体" w:hAnsi="宋体"/>
                <w:color w:val="auto"/>
                <w:kern w:val="0"/>
                <w:szCs w:val="21"/>
                <w:highlight w:val="none"/>
              </w:rPr>
            </w:pPr>
          </w:p>
        </w:tc>
      </w:tr>
      <w:tr w14:paraId="3AD7DF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169C6D00">
            <w:pPr>
              <w:autoSpaceDE w:val="0"/>
              <w:autoSpaceDN w:val="0"/>
              <w:adjustRightInd w:val="0"/>
              <w:snapToGrid w:val="0"/>
              <w:jc w:val="left"/>
              <w:rPr>
                <w:rFonts w:ascii="宋体" w:hAnsi="宋体"/>
                <w:color w:val="auto"/>
                <w:kern w:val="0"/>
                <w:szCs w:val="21"/>
                <w:highlight w:val="none"/>
              </w:rPr>
            </w:pPr>
          </w:p>
        </w:tc>
        <w:tc>
          <w:tcPr>
            <w:tcW w:w="1099" w:type="dxa"/>
            <w:noWrap w:val="0"/>
            <w:vAlign w:val="top"/>
          </w:tcPr>
          <w:p w14:paraId="0E39EE52">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666C3F64">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2C30CBB8">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2DA85139">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0BE25073">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6DBFB84C">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1B4F8367">
            <w:pPr>
              <w:autoSpaceDE w:val="0"/>
              <w:autoSpaceDN w:val="0"/>
              <w:adjustRightInd w:val="0"/>
              <w:snapToGrid w:val="0"/>
              <w:jc w:val="left"/>
              <w:rPr>
                <w:rFonts w:ascii="宋体" w:hAnsi="宋体"/>
                <w:color w:val="auto"/>
                <w:kern w:val="0"/>
                <w:szCs w:val="21"/>
                <w:highlight w:val="none"/>
              </w:rPr>
            </w:pPr>
          </w:p>
        </w:tc>
      </w:tr>
      <w:tr w14:paraId="6D77C0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13B7435C">
            <w:pPr>
              <w:autoSpaceDE w:val="0"/>
              <w:autoSpaceDN w:val="0"/>
              <w:adjustRightInd w:val="0"/>
              <w:snapToGrid w:val="0"/>
              <w:jc w:val="left"/>
              <w:rPr>
                <w:rFonts w:ascii="宋体" w:hAnsi="宋体"/>
                <w:color w:val="auto"/>
                <w:kern w:val="0"/>
                <w:szCs w:val="21"/>
                <w:highlight w:val="none"/>
              </w:rPr>
            </w:pPr>
          </w:p>
        </w:tc>
        <w:tc>
          <w:tcPr>
            <w:tcW w:w="1099" w:type="dxa"/>
            <w:noWrap w:val="0"/>
            <w:vAlign w:val="top"/>
          </w:tcPr>
          <w:p w14:paraId="5FBFE0CA">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06D3BB34">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64D5BD81">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2D3A7B89">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7FF7DAD7">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36315F02">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7536223F">
            <w:pPr>
              <w:autoSpaceDE w:val="0"/>
              <w:autoSpaceDN w:val="0"/>
              <w:adjustRightInd w:val="0"/>
              <w:snapToGrid w:val="0"/>
              <w:jc w:val="left"/>
              <w:rPr>
                <w:rFonts w:ascii="宋体" w:hAnsi="宋体"/>
                <w:color w:val="auto"/>
                <w:kern w:val="0"/>
                <w:szCs w:val="21"/>
                <w:highlight w:val="none"/>
              </w:rPr>
            </w:pPr>
          </w:p>
        </w:tc>
      </w:tr>
    </w:tbl>
    <w:p w14:paraId="13B71560">
      <w:pPr>
        <w:spacing w:line="20" w:lineRule="exact"/>
        <w:jc w:val="center"/>
        <w:rPr>
          <w:rFonts w:ascii="宋体" w:hAnsi="宋体"/>
          <w:color w:val="auto"/>
          <w:szCs w:val="21"/>
          <w:highlight w:val="none"/>
        </w:rPr>
      </w:pPr>
    </w:p>
    <w:p w14:paraId="523AEC4C">
      <w:pPr>
        <w:spacing w:line="360" w:lineRule="auto"/>
        <w:ind w:firstLine="420" w:firstLineChars="200"/>
        <w:jc w:val="center"/>
        <w:rPr>
          <w:rFonts w:ascii="宋体" w:hAnsi="宋体"/>
          <w:color w:val="auto"/>
          <w:sz w:val="32"/>
          <w:szCs w:val="32"/>
          <w:highlight w:val="none"/>
        </w:rPr>
      </w:pPr>
      <w:bookmarkStart w:id="65" w:name="_Toc5799"/>
      <w:r>
        <w:rPr>
          <w:rFonts w:hint="eastAsia"/>
          <w:color w:val="auto"/>
          <w:highlight w:val="none"/>
        </w:rPr>
        <w:br w:type="page"/>
      </w:r>
      <w:r>
        <w:rPr>
          <w:rFonts w:hint="eastAsia" w:ascii="宋体" w:hAnsi="宋体"/>
          <w:color w:val="auto"/>
          <w:sz w:val="32"/>
          <w:szCs w:val="32"/>
          <w:highlight w:val="none"/>
        </w:rPr>
        <w:t>主要人员简历表</w:t>
      </w:r>
    </w:p>
    <w:tbl>
      <w:tblPr>
        <w:tblStyle w:val="14"/>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236"/>
        <w:gridCol w:w="377"/>
        <w:gridCol w:w="968"/>
        <w:gridCol w:w="747"/>
        <w:gridCol w:w="1686"/>
        <w:gridCol w:w="169"/>
        <w:gridCol w:w="1314"/>
        <w:gridCol w:w="166"/>
        <w:gridCol w:w="2395"/>
      </w:tblGrid>
      <w:tr w14:paraId="596CE9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0" w:hRule="exact"/>
          <w:jc w:val="center"/>
        </w:trPr>
        <w:tc>
          <w:tcPr>
            <w:tcW w:w="1236" w:type="dxa"/>
            <w:noWrap w:val="0"/>
            <w:vAlign w:val="center"/>
          </w:tcPr>
          <w:p w14:paraId="56BCDEE4">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345" w:type="dxa"/>
            <w:gridSpan w:val="2"/>
            <w:noWrap w:val="0"/>
            <w:vAlign w:val="center"/>
          </w:tcPr>
          <w:p w14:paraId="2D19EF45">
            <w:pPr>
              <w:autoSpaceDE w:val="0"/>
              <w:autoSpaceDN w:val="0"/>
              <w:adjustRightInd w:val="0"/>
              <w:snapToGrid w:val="0"/>
              <w:jc w:val="center"/>
              <w:rPr>
                <w:rFonts w:ascii="宋体" w:hAnsi="宋体"/>
                <w:color w:val="auto"/>
                <w:kern w:val="0"/>
                <w:szCs w:val="21"/>
                <w:highlight w:val="none"/>
              </w:rPr>
            </w:pPr>
          </w:p>
        </w:tc>
        <w:tc>
          <w:tcPr>
            <w:tcW w:w="747" w:type="dxa"/>
            <w:noWrap w:val="0"/>
            <w:vAlign w:val="center"/>
          </w:tcPr>
          <w:p w14:paraId="2C6DFD15">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686" w:type="dxa"/>
            <w:noWrap w:val="0"/>
            <w:vAlign w:val="center"/>
          </w:tcPr>
          <w:p w14:paraId="4A9C2435">
            <w:pPr>
              <w:autoSpaceDE w:val="0"/>
              <w:autoSpaceDN w:val="0"/>
              <w:adjustRightInd w:val="0"/>
              <w:snapToGrid w:val="0"/>
              <w:jc w:val="center"/>
              <w:rPr>
                <w:rFonts w:ascii="宋体" w:hAnsi="宋体"/>
                <w:color w:val="auto"/>
                <w:kern w:val="0"/>
                <w:szCs w:val="21"/>
                <w:highlight w:val="none"/>
              </w:rPr>
            </w:pPr>
          </w:p>
        </w:tc>
        <w:tc>
          <w:tcPr>
            <w:tcW w:w="1649" w:type="dxa"/>
            <w:gridSpan w:val="3"/>
            <w:noWrap w:val="0"/>
            <w:vAlign w:val="center"/>
          </w:tcPr>
          <w:p w14:paraId="2F5B21A8">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2395" w:type="dxa"/>
            <w:noWrap w:val="0"/>
            <w:vAlign w:val="center"/>
          </w:tcPr>
          <w:p w14:paraId="0EA7392F">
            <w:pPr>
              <w:autoSpaceDE w:val="0"/>
              <w:autoSpaceDN w:val="0"/>
              <w:adjustRightInd w:val="0"/>
              <w:snapToGrid w:val="0"/>
              <w:jc w:val="center"/>
              <w:rPr>
                <w:rFonts w:ascii="宋体" w:hAnsi="宋体"/>
                <w:color w:val="auto"/>
                <w:kern w:val="0"/>
                <w:szCs w:val="21"/>
                <w:highlight w:val="none"/>
              </w:rPr>
            </w:pPr>
          </w:p>
        </w:tc>
      </w:tr>
      <w:tr w14:paraId="230F91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00" w:hRule="exact"/>
          <w:jc w:val="center"/>
        </w:trPr>
        <w:tc>
          <w:tcPr>
            <w:tcW w:w="1236" w:type="dxa"/>
            <w:noWrap w:val="0"/>
            <w:vAlign w:val="center"/>
          </w:tcPr>
          <w:p w14:paraId="13095B22">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345" w:type="dxa"/>
            <w:gridSpan w:val="2"/>
            <w:noWrap w:val="0"/>
            <w:vAlign w:val="center"/>
          </w:tcPr>
          <w:p w14:paraId="4F56EB4D">
            <w:pPr>
              <w:autoSpaceDE w:val="0"/>
              <w:autoSpaceDN w:val="0"/>
              <w:adjustRightInd w:val="0"/>
              <w:snapToGrid w:val="0"/>
              <w:jc w:val="center"/>
              <w:rPr>
                <w:rFonts w:ascii="宋体" w:hAnsi="宋体"/>
                <w:color w:val="auto"/>
                <w:kern w:val="0"/>
                <w:szCs w:val="21"/>
                <w:highlight w:val="none"/>
              </w:rPr>
            </w:pPr>
          </w:p>
        </w:tc>
        <w:tc>
          <w:tcPr>
            <w:tcW w:w="747" w:type="dxa"/>
            <w:noWrap w:val="0"/>
            <w:vAlign w:val="center"/>
          </w:tcPr>
          <w:p w14:paraId="2ABEAA1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686" w:type="dxa"/>
            <w:noWrap w:val="0"/>
            <w:vAlign w:val="center"/>
          </w:tcPr>
          <w:p w14:paraId="2E318D79">
            <w:pPr>
              <w:autoSpaceDE w:val="0"/>
              <w:autoSpaceDN w:val="0"/>
              <w:adjustRightInd w:val="0"/>
              <w:snapToGrid w:val="0"/>
              <w:jc w:val="center"/>
              <w:rPr>
                <w:rFonts w:ascii="宋体" w:hAnsi="宋体"/>
                <w:color w:val="auto"/>
                <w:kern w:val="0"/>
                <w:szCs w:val="21"/>
                <w:highlight w:val="none"/>
              </w:rPr>
            </w:pPr>
          </w:p>
        </w:tc>
        <w:tc>
          <w:tcPr>
            <w:tcW w:w="1649" w:type="dxa"/>
            <w:gridSpan w:val="3"/>
            <w:noWrap w:val="0"/>
            <w:vAlign w:val="center"/>
          </w:tcPr>
          <w:p w14:paraId="253CB039">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2395" w:type="dxa"/>
            <w:noWrap w:val="0"/>
            <w:vAlign w:val="center"/>
          </w:tcPr>
          <w:p w14:paraId="7AD7DA7D">
            <w:pPr>
              <w:autoSpaceDE w:val="0"/>
              <w:autoSpaceDN w:val="0"/>
              <w:adjustRightInd w:val="0"/>
              <w:snapToGrid w:val="0"/>
              <w:jc w:val="center"/>
              <w:rPr>
                <w:rFonts w:ascii="宋体" w:hAnsi="宋体"/>
                <w:color w:val="auto"/>
                <w:kern w:val="0"/>
                <w:szCs w:val="21"/>
                <w:highlight w:val="none"/>
              </w:rPr>
            </w:pPr>
          </w:p>
        </w:tc>
      </w:tr>
      <w:tr w14:paraId="4020C6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236" w:type="dxa"/>
            <w:noWrap w:val="0"/>
            <w:vAlign w:val="center"/>
          </w:tcPr>
          <w:p w14:paraId="364C4CEE">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7822" w:type="dxa"/>
            <w:gridSpan w:val="8"/>
            <w:noWrap w:val="0"/>
            <w:vAlign w:val="center"/>
          </w:tcPr>
          <w:p w14:paraId="2070C2D1">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14:paraId="03CB5D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9058" w:type="dxa"/>
            <w:gridSpan w:val="9"/>
            <w:noWrap w:val="0"/>
            <w:vAlign w:val="center"/>
          </w:tcPr>
          <w:p w14:paraId="58CADEAF">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14:paraId="56A9BC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66D509EB">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570" w:type="dxa"/>
            <w:gridSpan w:val="4"/>
            <w:noWrap w:val="0"/>
            <w:vAlign w:val="center"/>
          </w:tcPr>
          <w:p w14:paraId="450C609B">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参加过类似项目</w:t>
            </w:r>
          </w:p>
        </w:tc>
        <w:tc>
          <w:tcPr>
            <w:tcW w:w="1314" w:type="dxa"/>
            <w:noWrap w:val="0"/>
            <w:vAlign w:val="center"/>
          </w:tcPr>
          <w:p w14:paraId="4077FFC3">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561" w:type="dxa"/>
            <w:gridSpan w:val="2"/>
            <w:noWrap w:val="0"/>
            <w:vAlign w:val="center"/>
          </w:tcPr>
          <w:p w14:paraId="2FB9DD00">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14:paraId="4A6B4B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3AE3B2E4">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3F670DDF">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29BA6CE5">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262FE17B">
            <w:pPr>
              <w:autoSpaceDE w:val="0"/>
              <w:autoSpaceDN w:val="0"/>
              <w:adjustRightInd w:val="0"/>
              <w:snapToGrid w:val="0"/>
              <w:jc w:val="center"/>
              <w:rPr>
                <w:rFonts w:ascii="宋体" w:hAnsi="宋体"/>
                <w:color w:val="auto"/>
                <w:kern w:val="0"/>
                <w:szCs w:val="21"/>
                <w:highlight w:val="none"/>
              </w:rPr>
            </w:pPr>
          </w:p>
        </w:tc>
      </w:tr>
      <w:tr w14:paraId="5FF9EE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4D28490B">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13215F91">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4996C6F2">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70CE8D3A">
            <w:pPr>
              <w:autoSpaceDE w:val="0"/>
              <w:autoSpaceDN w:val="0"/>
              <w:adjustRightInd w:val="0"/>
              <w:snapToGrid w:val="0"/>
              <w:jc w:val="center"/>
              <w:rPr>
                <w:rFonts w:ascii="宋体" w:hAnsi="宋体"/>
                <w:color w:val="auto"/>
                <w:kern w:val="0"/>
                <w:szCs w:val="21"/>
                <w:highlight w:val="none"/>
              </w:rPr>
            </w:pPr>
          </w:p>
        </w:tc>
      </w:tr>
      <w:tr w14:paraId="4BBEDF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6EBFD00F">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7F85BF12">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30B2FD6E">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62644E9A">
            <w:pPr>
              <w:autoSpaceDE w:val="0"/>
              <w:autoSpaceDN w:val="0"/>
              <w:adjustRightInd w:val="0"/>
              <w:snapToGrid w:val="0"/>
              <w:jc w:val="center"/>
              <w:rPr>
                <w:rFonts w:ascii="宋体" w:hAnsi="宋体"/>
                <w:color w:val="auto"/>
                <w:kern w:val="0"/>
                <w:szCs w:val="21"/>
                <w:highlight w:val="none"/>
              </w:rPr>
            </w:pPr>
          </w:p>
        </w:tc>
      </w:tr>
      <w:tr w14:paraId="734931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4723AD97">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64BCCFAE">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7654D0C2">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180840F4">
            <w:pPr>
              <w:autoSpaceDE w:val="0"/>
              <w:autoSpaceDN w:val="0"/>
              <w:adjustRightInd w:val="0"/>
              <w:snapToGrid w:val="0"/>
              <w:jc w:val="center"/>
              <w:rPr>
                <w:rFonts w:ascii="宋体" w:hAnsi="宋体"/>
                <w:color w:val="auto"/>
                <w:kern w:val="0"/>
                <w:szCs w:val="21"/>
                <w:highlight w:val="none"/>
              </w:rPr>
            </w:pPr>
          </w:p>
        </w:tc>
      </w:tr>
      <w:tr w14:paraId="61C22D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25" w:hRule="exact"/>
          <w:jc w:val="center"/>
        </w:trPr>
        <w:tc>
          <w:tcPr>
            <w:tcW w:w="1613" w:type="dxa"/>
            <w:gridSpan w:val="2"/>
            <w:noWrap w:val="0"/>
            <w:vAlign w:val="center"/>
          </w:tcPr>
          <w:p w14:paraId="53EB3545">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3BD9AB66">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74022803">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66553843">
            <w:pPr>
              <w:autoSpaceDE w:val="0"/>
              <w:autoSpaceDN w:val="0"/>
              <w:adjustRightInd w:val="0"/>
              <w:snapToGrid w:val="0"/>
              <w:jc w:val="center"/>
              <w:rPr>
                <w:rFonts w:ascii="宋体" w:hAnsi="宋体"/>
                <w:color w:val="auto"/>
                <w:kern w:val="0"/>
                <w:szCs w:val="21"/>
                <w:highlight w:val="none"/>
              </w:rPr>
            </w:pPr>
          </w:p>
        </w:tc>
      </w:tr>
      <w:tr w14:paraId="77703B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25" w:hRule="exact"/>
          <w:jc w:val="center"/>
        </w:trPr>
        <w:tc>
          <w:tcPr>
            <w:tcW w:w="1613" w:type="dxa"/>
            <w:gridSpan w:val="2"/>
            <w:noWrap w:val="0"/>
            <w:vAlign w:val="center"/>
          </w:tcPr>
          <w:p w14:paraId="5A2FCCFF">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0CBA39FF">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1DB3881B">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1640E659">
            <w:pPr>
              <w:autoSpaceDE w:val="0"/>
              <w:autoSpaceDN w:val="0"/>
              <w:adjustRightInd w:val="0"/>
              <w:snapToGrid w:val="0"/>
              <w:jc w:val="center"/>
              <w:rPr>
                <w:rFonts w:ascii="宋体" w:hAnsi="宋体"/>
                <w:color w:val="auto"/>
                <w:kern w:val="0"/>
                <w:szCs w:val="21"/>
                <w:highlight w:val="none"/>
              </w:rPr>
            </w:pPr>
          </w:p>
        </w:tc>
      </w:tr>
      <w:tr w14:paraId="25A272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62" w:hRule="exact"/>
          <w:jc w:val="center"/>
        </w:trPr>
        <w:tc>
          <w:tcPr>
            <w:tcW w:w="1613" w:type="dxa"/>
            <w:gridSpan w:val="2"/>
            <w:noWrap w:val="0"/>
            <w:vAlign w:val="center"/>
          </w:tcPr>
          <w:p w14:paraId="6A1144EF">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3B50AC84">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75123B32">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0CC633FD">
            <w:pPr>
              <w:autoSpaceDE w:val="0"/>
              <w:autoSpaceDN w:val="0"/>
              <w:adjustRightInd w:val="0"/>
              <w:snapToGrid w:val="0"/>
              <w:jc w:val="center"/>
              <w:rPr>
                <w:rFonts w:ascii="宋体" w:hAnsi="宋体"/>
                <w:color w:val="auto"/>
                <w:kern w:val="0"/>
                <w:szCs w:val="21"/>
                <w:highlight w:val="none"/>
              </w:rPr>
            </w:pPr>
          </w:p>
        </w:tc>
      </w:tr>
    </w:tbl>
    <w:p w14:paraId="337F0B7A">
      <w:pPr>
        <w:rPr>
          <w:rFonts w:hint="eastAsia"/>
          <w:color w:val="auto"/>
          <w:highlight w:val="none"/>
        </w:rPr>
      </w:pPr>
    </w:p>
    <w:p w14:paraId="25CC9F62">
      <w:pPr>
        <w:pStyle w:val="6"/>
        <w:spacing w:before="0" w:line="360" w:lineRule="auto"/>
        <w:jc w:val="center"/>
        <w:rPr>
          <w:rFonts w:hint="eastAsia" w:ascii="宋体" w:hAnsi="宋体"/>
          <w:b w:val="0"/>
          <w:color w:val="auto"/>
          <w:highlight w:val="none"/>
        </w:rPr>
      </w:pPr>
      <w:r>
        <w:rPr>
          <w:rFonts w:ascii="宋体" w:hAnsi="宋体"/>
          <w:color w:val="auto"/>
          <w:highlight w:val="none"/>
        </w:rPr>
        <w:br w:type="page"/>
      </w:r>
      <w:bookmarkEnd w:id="57"/>
      <w:bookmarkEnd w:id="58"/>
      <w:bookmarkStart w:id="66" w:name="_Toc3235"/>
      <w:bookmarkStart w:id="67" w:name="_Toc17377"/>
      <w:bookmarkStart w:id="68" w:name="_Toc42269749"/>
      <w:bookmarkStart w:id="69" w:name="_Toc486490338"/>
      <w:bookmarkStart w:id="70" w:name="_Toc534185843"/>
      <w:bookmarkStart w:id="71" w:name="_Toc509218866"/>
      <w:bookmarkStart w:id="72" w:name="_Toc501386307"/>
      <w:r>
        <w:rPr>
          <w:rFonts w:hint="eastAsia" w:ascii="宋体" w:hAnsi="宋体"/>
          <w:bCs/>
          <w:color w:val="auto"/>
          <w:sz w:val="32"/>
          <w:szCs w:val="36"/>
          <w:highlight w:val="none"/>
        </w:rPr>
        <w:t>4.比选截止日竞选人资格情况</w:t>
      </w:r>
    </w:p>
    <w:p w14:paraId="04EAB939">
      <w:pPr>
        <w:pStyle w:val="6"/>
        <w:spacing w:line="360" w:lineRule="auto"/>
        <w:jc w:val="center"/>
        <w:rPr>
          <w:rFonts w:ascii="宋体" w:hAnsi="宋体"/>
          <w:color w:val="auto"/>
          <w:highlight w:val="none"/>
        </w:rPr>
      </w:pPr>
    </w:p>
    <w:p w14:paraId="19842F0F">
      <w:pPr>
        <w:pStyle w:val="6"/>
        <w:spacing w:line="360" w:lineRule="auto"/>
        <w:jc w:val="center"/>
        <w:rPr>
          <w:rFonts w:hint="eastAsia" w:ascii="宋体" w:hAnsi="宋体"/>
          <w:color w:val="auto"/>
          <w:highlight w:val="none"/>
        </w:rPr>
      </w:pPr>
    </w:p>
    <w:p w14:paraId="33C4CA63">
      <w:pPr>
        <w:pStyle w:val="6"/>
        <w:spacing w:line="360" w:lineRule="auto"/>
        <w:jc w:val="center"/>
        <w:rPr>
          <w:rFonts w:hint="eastAsia" w:ascii="宋体" w:hAnsi="宋体"/>
          <w:color w:val="auto"/>
          <w:highlight w:val="none"/>
        </w:rPr>
      </w:pPr>
    </w:p>
    <w:p w14:paraId="3217937D">
      <w:pPr>
        <w:pStyle w:val="6"/>
        <w:spacing w:line="360" w:lineRule="auto"/>
        <w:jc w:val="center"/>
        <w:rPr>
          <w:rFonts w:hint="eastAsia" w:ascii="宋体" w:hAnsi="宋体"/>
          <w:color w:val="auto"/>
          <w:highlight w:val="none"/>
        </w:rPr>
      </w:pPr>
    </w:p>
    <w:p w14:paraId="21AC5176">
      <w:pPr>
        <w:pStyle w:val="6"/>
        <w:spacing w:line="360" w:lineRule="auto"/>
        <w:jc w:val="center"/>
        <w:rPr>
          <w:rFonts w:hint="eastAsia" w:ascii="宋体" w:hAnsi="宋体"/>
          <w:color w:val="auto"/>
          <w:highlight w:val="none"/>
        </w:rPr>
      </w:pPr>
    </w:p>
    <w:p w14:paraId="10778F49">
      <w:pPr>
        <w:pStyle w:val="6"/>
        <w:spacing w:line="360" w:lineRule="auto"/>
        <w:jc w:val="center"/>
        <w:rPr>
          <w:rFonts w:hint="eastAsia" w:ascii="宋体" w:hAnsi="宋体"/>
          <w:color w:val="auto"/>
          <w:highlight w:val="none"/>
        </w:rPr>
      </w:pPr>
    </w:p>
    <w:p w14:paraId="41FA36EE">
      <w:pPr>
        <w:pStyle w:val="6"/>
        <w:spacing w:line="360" w:lineRule="auto"/>
        <w:jc w:val="center"/>
        <w:rPr>
          <w:rFonts w:hint="eastAsia" w:ascii="宋体" w:hAnsi="宋体"/>
          <w:color w:val="auto"/>
          <w:highlight w:val="none"/>
        </w:rPr>
      </w:pPr>
    </w:p>
    <w:p w14:paraId="48261FFC">
      <w:pPr>
        <w:pStyle w:val="6"/>
        <w:spacing w:line="360" w:lineRule="auto"/>
        <w:jc w:val="center"/>
        <w:rPr>
          <w:rFonts w:hint="eastAsia" w:ascii="宋体" w:hAnsi="宋体"/>
          <w:color w:val="auto"/>
          <w:highlight w:val="none"/>
        </w:rPr>
      </w:pPr>
    </w:p>
    <w:p w14:paraId="5C41AD1F">
      <w:pPr>
        <w:pStyle w:val="6"/>
        <w:spacing w:line="360" w:lineRule="auto"/>
        <w:jc w:val="center"/>
        <w:rPr>
          <w:rFonts w:hint="eastAsia" w:ascii="宋体" w:hAnsi="宋体"/>
          <w:color w:val="auto"/>
          <w:highlight w:val="none"/>
        </w:rPr>
      </w:pPr>
    </w:p>
    <w:p w14:paraId="2246C0A4">
      <w:pPr>
        <w:pStyle w:val="6"/>
        <w:spacing w:line="360" w:lineRule="auto"/>
        <w:jc w:val="center"/>
        <w:rPr>
          <w:rFonts w:hint="eastAsia" w:ascii="宋体" w:hAnsi="宋体"/>
          <w:color w:val="auto"/>
          <w:highlight w:val="none"/>
        </w:rPr>
      </w:pPr>
    </w:p>
    <w:p w14:paraId="702D63E9">
      <w:pPr>
        <w:pStyle w:val="6"/>
        <w:spacing w:line="360" w:lineRule="auto"/>
        <w:jc w:val="center"/>
        <w:rPr>
          <w:rFonts w:hint="eastAsia" w:ascii="宋体" w:hAnsi="宋体"/>
          <w:color w:val="auto"/>
          <w:highlight w:val="none"/>
        </w:rPr>
      </w:pPr>
    </w:p>
    <w:p w14:paraId="54D81213">
      <w:pPr>
        <w:pStyle w:val="6"/>
        <w:spacing w:line="360" w:lineRule="auto"/>
        <w:jc w:val="center"/>
        <w:rPr>
          <w:rFonts w:hint="eastAsia" w:ascii="宋体" w:hAnsi="宋体"/>
          <w:color w:val="auto"/>
          <w:highlight w:val="none"/>
        </w:rPr>
      </w:pPr>
    </w:p>
    <w:p w14:paraId="523EE5A0">
      <w:pPr>
        <w:pStyle w:val="6"/>
        <w:spacing w:line="360" w:lineRule="auto"/>
        <w:jc w:val="center"/>
        <w:rPr>
          <w:rFonts w:hint="eastAsia" w:ascii="宋体" w:hAnsi="宋体"/>
          <w:color w:val="auto"/>
          <w:highlight w:val="none"/>
        </w:rPr>
      </w:pPr>
    </w:p>
    <w:p w14:paraId="630CC997">
      <w:pPr>
        <w:pStyle w:val="6"/>
        <w:spacing w:line="360" w:lineRule="auto"/>
        <w:jc w:val="center"/>
        <w:rPr>
          <w:rFonts w:hint="eastAsia" w:ascii="宋体" w:hAnsi="宋体"/>
          <w:color w:val="auto"/>
          <w:highlight w:val="none"/>
        </w:rPr>
      </w:pPr>
    </w:p>
    <w:p w14:paraId="7AAC2B9A">
      <w:pPr>
        <w:pStyle w:val="6"/>
        <w:spacing w:line="360" w:lineRule="auto"/>
        <w:jc w:val="center"/>
        <w:rPr>
          <w:rFonts w:hint="eastAsia" w:ascii="宋体" w:hAnsi="宋体"/>
          <w:color w:val="auto"/>
          <w:highlight w:val="none"/>
        </w:rPr>
      </w:pPr>
    </w:p>
    <w:p w14:paraId="69B918C3">
      <w:pPr>
        <w:pStyle w:val="6"/>
        <w:spacing w:line="360" w:lineRule="auto"/>
        <w:jc w:val="center"/>
        <w:rPr>
          <w:rFonts w:hint="eastAsia" w:ascii="宋体" w:hAnsi="宋体"/>
          <w:color w:val="auto"/>
          <w:highlight w:val="none"/>
        </w:rPr>
      </w:pPr>
    </w:p>
    <w:p w14:paraId="170F0BAB">
      <w:pPr>
        <w:pStyle w:val="6"/>
        <w:spacing w:line="360" w:lineRule="auto"/>
        <w:jc w:val="center"/>
        <w:rPr>
          <w:rFonts w:hint="eastAsia" w:ascii="宋体" w:hAnsi="宋体"/>
          <w:color w:val="auto"/>
          <w:highlight w:val="none"/>
        </w:rPr>
      </w:pPr>
    </w:p>
    <w:p w14:paraId="0AF07E93">
      <w:pPr>
        <w:pStyle w:val="6"/>
        <w:spacing w:line="360" w:lineRule="auto"/>
        <w:jc w:val="center"/>
        <w:rPr>
          <w:rFonts w:hint="eastAsia" w:ascii="宋体" w:hAnsi="宋体"/>
          <w:color w:val="auto"/>
          <w:highlight w:val="none"/>
        </w:rPr>
      </w:pPr>
    </w:p>
    <w:p w14:paraId="7D0F0A5E">
      <w:pPr>
        <w:pStyle w:val="6"/>
        <w:spacing w:line="360" w:lineRule="auto"/>
        <w:jc w:val="center"/>
        <w:rPr>
          <w:rFonts w:hint="eastAsia" w:ascii="宋体" w:hAnsi="宋体"/>
          <w:color w:val="auto"/>
          <w:highlight w:val="none"/>
        </w:rPr>
      </w:pPr>
    </w:p>
    <w:p w14:paraId="61D33979">
      <w:pPr>
        <w:pStyle w:val="6"/>
        <w:spacing w:line="360" w:lineRule="auto"/>
        <w:jc w:val="center"/>
        <w:rPr>
          <w:rFonts w:hint="eastAsia" w:ascii="宋体" w:hAnsi="宋体"/>
          <w:color w:val="auto"/>
          <w:highlight w:val="none"/>
        </w:rPr>
      </w:pPr>
    </w:p>
    <w:p w14:paraId="689B18DF">
      <w:pPr>
        <w:pStyle w:val="6"/>
        <w:spacing w:line="360" w:lineRule="auto"/>
        <w:jc w:val="center"/>
        <w:rPr>
          <w:rFonts w:hint="eastAsia" w:ascii="宋体" w:hAnsi="宋体"/>
          <w:color w:val="auto"/>
          <w:highlight w:val="none"/>
        </w:rPr>
      </w:pPr>
    </w:p>
    <w:p w14:paraId="0D550B82">
      <w:pPr>
        <w:pStyle w:val="6"/>
        <w:spacing w:line="360" w:lineRule="auto"/>
        <w:jc w:val="center"/>
        <w:rPr>
          <w:rFonts w:hint="eastAsia" w:ascii="宋体" w:hAnsi="宋体"/>
          <w:color w:val="auto"/>
          <w:highlight w:val="none"/>
        </w:rPr>
      </w:pPr>
    </w:p>
    <w:p w14:paraId="0AB42DB2">
      <w:pPr>
        <w:pStyle w:val="6"/>
        <w:spacing w:line="360" w:lineRule="auto"/>
        <w:jc w:val="center"/>
        <w:rPr>
          <w:rFonts w:hint="eastAsia" w:ascii="宋体" w:hAnsi="宋体"/>
          <w:color w:val="auto"/>
          <w:highlight w:val="none"/>
        </w:rPr>
      </w:pPr>
    </w:p>
    <w:p w14:paraId="06E48781">
      <w:pPr>
        <w:pStyle w:val="6"/>
        <w:spacing w:line="360" w:lineRule="auto"/>
        <w:jc w:val="center"/>
        <w:rPr>
          <w:rFonts w:hint="eastAsia" w:ascii="宋体" w:hAnsi="宋体"/>
          <w:color w:val="auto"/>
          <w:highlight w:val="none"/>
        </w:rPr>
      </w:pPr>
    </w:p>
    <w:p w14:paraId="174E9020">
      <w:pPr>
        <w:pStyle w:val="6"/>
        <w:spacing w:line="360" w:lineRule="auto"/>
        <w:jc w:val="center"/>
        <w:rPr>
          <w:rFonts w:hint="eastAsia" w:ascii="宋体" w:hAnsi="宋体"/>
          <w:color w:val="auto"/>
          <w:highlight w:val="none"/>
        </w:rPr>
      </w:pPr>
    </w:p>
    <w:p w14:paraId="1BE8C28B">
      <w:pPr>
        <w:pStyle w:val="6"/>
        <w:spacing w:line="360" w:lineRule="auto"/>
        <w:jc w:val="center"/>
        <w:rPr>
          <w:rFonts w:hint="eastAsia" w:ascii="宋体" w:hAnsi="宋体"/>
          <w:color w:val="auto"/>
          <w:highlight w:val="none"/>
        </w:rPr>
      </w:pPr>
    </w:p>
    <w:p w14:paraId="5E6BECEA">
      <w:pPr>
        <w:pStyle w:val="6"/>
        <w:spacing w:line="360" w:lineRule="auto"/>
        <w:jc w:val="center"/>
        <w:rPr>
          <w:rFonts w:hint="eastAsia" w:ascii="宋体" w:hAnsi="宋体"/>
          <w:color w:val="auto"/>
          <w:highlight w:val="none"/>
        </w:rPr>
      </w:pPr>
    </w:p>
    <w:bookmarkEnd w:id="65"/>
    <w:bookmarkEnd w:id="66"/>
    <w:bookmarkEnd w:id="67"/>
    <w:bookmarkEnd w:id="68"/>
    <w:bookmarkEnd w:id="69"/>
    <w:bookmarkEnd w:id="70"/>
    <w:bookmarkEnd w:id="71"/>
    <w:bookmarkEnd w:id="72"/>
    <w:p w14:paraId="2AFE1BD9">
      <w:pPr>
        <w:rPr>
          <w:color w:val="auto"/>
          <w:highlight w:val="none"/>
        </w:rPr>
      </w:pPr>
    </w:p>
    <w:p w14:paraId="23E6B424">
      <w:pPr>
        <w:pStyle w:val="6"/>
        <w:spacing w:before="0" w:line="360" w:lineRule="auto"/>
        <w:jc w:val="center"/>
        <w:rPr>
          <w:rFonts w:hint="eastAsia"/>
          <w:color w:val="auto"/>
          <w:highlight w:val="none"/>
        </w:rPr>
      </w:pPr>
      <w:r>
        <w:rPr>
          <w:rFonts w:ascii="宋体" w:hAnsi="宋体"/>
          <w:b w:val="0"/>
          <w:color w:val="auto"/>
          <w:sz w:val="21"/>
          <w:szCs w:val="24"/>
          <w:highlight w:val="none"/>
        </w:rPr>
        <w:br w:type="page"/>
      </w:r>
    </w:p>
    <w:p w14:paraId="7D526A52">
      <w:pPr>
        <w:numPr>
          <w:ilvl w:val="0"/>
          <w:numId w:val="25"/>
        </w:numPr>
        <w:jc w:val="center"/>
        <w:rPr>
          <w:rFonts w:hint="eastAsia" w:ascii="宋体" w:hAnsi="宋体" w:eastAsia="仿宋_GB2312" w:cs="MingLiU"/>
          <w:b/>
          <w:bCs/>
          <w:color w:val="auto"/>
          <w:kern w:val="0"/>
          <w:sz w:val="32"/>
          <w:szCs w:val="36"/>
          <w:highlight w:val="none"/>
        </w:rPr>
      </w:pPr>
      <w:r>
        <w:rPr>
          <w:rFonts w:hint="eastAsia" w:ascii="宋体" w:hAnsi="宋体" w:eastAsia="仿宋_GB2312" w:cs="MingLiU"/>
          <w:b/>
          <w:bCs/>
          <w:color w:val="auto"/>
          <w:kern w:val="0"/>
          <w:sz w:val="32"/>
          <w:szCs w:val="36"/>
          <w:highlight w:val="none"/>
        </w:rPr>
        <w:t>其他资料</w:t>
      </w:r>
    </w:p>
    <w:p w14:paraId="66F0CB8C">
      <w:pPr>
        <w:spacing w:line="360" w:lineRule="auto"/>
        <w:jc w:val="center"/>
        <w:rPr>
          <w:rFonts w:hint="eastAsia" w:ascii="宋体" w:hAnsi="宋体"/>
          <w:color w:val="auto"/>
          <w:kern w:val="0"/>
          <w:sz w:val="32"/>
          <w:szCs w:val="32"/>
          <w:highlight w:val="none"/>
        </w:rPr>
      </w:pPr>
      <w:r>
        <w:rPr>
          <w:rFonts w:hint="eastAsia" w:ascii="宋体" w:hAnsi="宋体" w:eastAsia="仿宋_GB2312" w:cs="MingLiU"/>
          <w:b/>
          <w:bCs/>
          <w:color w:val="auto"/>
          <w:kern w:val="0"/>
          <w:sz w:val="32"/>
          <w:szCs w:val="36"/>
          <w:highlight w:val="none"/>
        </w:rPr>
        <w:br w:type="page"/>
      </w:r>
      <w:r>
        <w:rPr>
          <w:rFonts w:hint="eastAsia" w:ascii="宋体" w:hAnsi="宋体"/>
          <w:color w:val="auto"/>
          <w:kern w:val="0"/>
          <w:sz w:val="32"/>
          <w:szCs w:val="32"/>
          <w:highlight w:val="none"/>
          <w:u w:val="single"/>
        </w:rPr>
        <w:t xml:space="preserve">                   </w:t>
      </w:r>
      <w:r>
        <w:rPr>
          <w:rFonts w:hint="eastAsia" w:ascii="宋体" w:hAnsi="宋体"/>
          <w:color w:val="auto"/>
          <w:kern w:val="0"/>
          <w:sz w:val="32"/>
          <w:szCs w:val="32"/>
          <w:highlight w:val="none"/>
        </w:rPr>
        <w:t>（项目名称）</w:t>
      </w:r>
    </w:p>
    <w:p w14:paraId="722F153B">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2FE74EF9">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777EE59">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B5013AE">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竞选文件</w:t>
      </w:r>
    </w:p>
    <w:p w14:paraId="0898A132">
      <w:pPr>
        <w:autoSpaceDE w:val="0"/>
        <w:autoSpaceDN w:val="0"/>
        <w:adjustRightInd w:val="0"/>
        <w:snapToGrid w:val="0"/>
        <w:spacing w:line="360" w:lineRule="auto"/>
        <w:jc w:val="center"/>
        <w:rPr>
          <w:rFonts w:hint="eastAsia" w:ascii="宋体" w:hAnsi="宋体"/>
          <w:b/>
          <w:bCs/>
          <w:color w:val="auto"/>
          <w:kern w:val="0"/>
          <w:sz w:val="40"/>
          <w:szCs w:val="40"/>
          <w:highlight w:val="none"/>
        </w:rPr>
      </w:pPr>
      <w:r>
        <w:rPr>
          <w:rFonts w:hint="eastAsia" w:ascii="宋体" w:hAnsi="宋体"/>
          <w:b/>
          <w:bCs/>
          <w:color w:val="auto"/>
          <w:kern w:val="0"/>
          <w:sz w:val="40"/>
          <w:szCs w:val="40"/>
          <w:highlight w:val="none"/>
        </w:rPr>
        <w:t>（</w:t>
      </w:r>
      <w:r>
        <w:rPr>
          <w:rFonts w:hint="eastAsia" w:ascii="宋体" w:hAnsi="宋体"/>
          <w:b/>
          <w:bCs/>
          <w:color w:val="auto"/>
          <w:kern w:val="0"/>
          <w:sz w:val="40"/>
          <w:szCs w:val="40"/>
          <w:highlight w:val="none"/>
          <w:lang w:val="en-US" w:eastAsia="zh-CN"/>
        </w:rPr>
        <w:t>经济</w:t>
      </w:r>
      <w:r>
        <w:rPr>
          <w:rFonts w:hint="eastAsia" w:ascii="宋体" w:hAnsi="宋体"/>
          <w:b/>
          <w:bCs/>
          <w:color w:val="auto"/>
          <w:kern w:val="0"/>
          <w:sz w:val="40"/>
          <w:szCs w:val="40"/>
          <w:highlight w:val="none"/>
        </w:rPr>
        <w:t>部分）</w:t>
      </w:r>
    </w:p>
    <w:p w14:paraId="4C9C6A8E">
      <w:pPr>
        <w:autoSpaceDE w:val="0"/>
        <w:autoSpaceDN w:val="0"/>
        <w:adjustRightInd w:val="0"/>
        <w:snapToGrid w:val="0"/>
        <w:spacing w:line="360" w:lineRule="auto"/>
        <w:jc w:val="left"/>
        <w:rPr>
          <w:rFonts w:ascii="宋体" w:hAnsi="宋体"/>
          <w:b/>
          <w:color w:val="auto"/>
          <w:kern w:val="0"/>
          <w:sz w:val="20"/>
          <w:szCs w:val="20"/>
          <w:highlight w:val="none"/>
        </w:rPr>
      </w:pPr>
    </w:p>
    <w:p w14:paraId="1D337159">
      <w:pPr>
        <w:autoSpaceDE w:val="0"/>
        <w:autoSpaceDN w:val="0"/>
        <w:adjustRightInd w:val="0"/>
        <w:snapToGrid w:val="0"/>
        <w:spacing w:line="360" w:lineRule="auto"/>
        <w:jc w:val="left"/>
        <w:rPr>
          <w:rFonts w:ascii="宋体" w:hAnsi="宋体"/>
          <w:b/>
          <w:color w:val="auto"/>
          <w:kern w:val="0"/>
          <w:sz w:val="20"/>
          <w:szCs w:val="20"/>
          <w:highlight w:val="none"/>
        </w:rPr>
      </w:pPr>
    </w:p>
    <w:p w14:paraId="5F1A78F3">
      <w:pPr>
        <w:autoSpaceDE w:val="0"/>
        <w:autoSpaceDN w:val="0"/>
        <w:adjustRightInd w:val="0"/>
        <w:snapToGrid w:val="0"/>
        <w:spacing w:line="360" w:lineRule="auto"/>
        <w:jc w:val="left"/>
        <w:rPr>
          <w:rFonts w:ascii="宋体" w:hAnsi="宋体"/>
          <w:b/>
          <w:color w:val="auto"/>
          <w:kern w:val="0"/>
          <w:sz w:val="20"/>
          <w:szCs w:val="20"/>
          <w:highlight w:val="none"/>
        </w:rPr>
      </w:pPr>
    </w:p>
    <w:p w14:paraId="0F192285">
      <w:pPr>
        <w:autoSpaceDE w:val="0"/>
        <w:autoSpaceDN w:val="0"/>
        <w:adjustRightInd w:val="0"/>
        <w:snapToGrid w:val="0"/>
        <w:spacing w:line="360" w:lineRule="auto"/>
        <w:jc w:val="left"/>
        <w:rPr>
          <w:rFonts w:ascii="宋体" w:hAnsi="宋体"/>
          <w:b/>
          <w:color w:val="auto"/>
          <w:kern w:val="0"/>
          <w:sz w:val="20"/>
          <w:szCs w:val="20"/>
          <w:highlight w:val="none"/>
        </w:rPr>
      </w:pPr>
    </w:p>
    <w:p w14:paraId="70FD1580">
      <w:pPr>
        <w:autoSpaceDE w:val="0"/>
        <w:autoSpaceDN w:val="0"/>
        <w:adjustRightInd w:val="0"/>
        <w:snapToGrid w:val="0"/>
        <w:spacing w:line="360" w:lineRule="auto"/>
        <w:jc w:val="left"/>
        <w:rPr>
          <w:rFonts w:ascii="宋体" w:hAnsi="宋体"/>
          <w:b/>
          <w:color w:val="auto"/>
          <w:kern w:val="0"/>
          <w:sz w:val="20"/>
          <w:szCs w:val="20"/>
          <w:highlight w:val="none"/>
        </w:rPr>
      </w:pPr>
    </w:p>
    <w:p w14:paraId="487D9895">
      <w:pPr>
        <w:autoSpaceDE w:val="0"/>
        <w:autoSpaceDN w:val="0"/>
        <w:adjustRightInd w:val="0"/>
        <w:snapToGrid w:val="0"/>
        <w:spacing w:line="360" w:lineRule="auto"/>
        <w:jc w:val="left"/>
        <w:rPr>
          <w:rFonts w:ascii="宋体" w:hAnsi="宋体"/>
          <w:b/>
          <w:color w:val="auto"/>
          <w:kern w:val="0"/>
          <w:sz w:val="20"/>
          <w:szCs w:val="20"/>
          <w:highlight w:val="none"/>
        </w:rPr>
      </w:pPr>
    </w:p>
    <w:p w14:paraId="29D37C6B">
      <w:pPr>
        <w:autoSpaceDE w:val="0"/>
        <w:autoSpaceDN w:val="0"/>
        <w:adjustRightInd w:val="0"/>
        <w:snapToGrid w:val="0"/>
        <w:spacing w:line="360" w:lineRule="auto"/>
        <w:jc w:val="left"/>
        <w:rPr>
          <w:rFonts w:ascii="宋体" w:hAnsi="宋体"/>
          <w:b/>
          <w:color w:val="auto"/>
          <w:kern w:val="0"/>
          <w:sz w:val="20"/>
          <w:szCs w:val="20"/>
          <w:highlight w:val="none"/>
        </w:rPr>
      </w:pPr>
    </w:p>
    <w:p w14:paraId="3A52C761">
      <w:pPr>
        <w:autoSpaceDE w:val="0"/>
        <w:autoSpaceDN w:val="0"/>
        <w:adjustRightInd w:val="0"/>
        <w:snapToGrid w:val="0"/>
        <w:spacing w:line="360" w:lineRule="auto"/>
        <w:jc w:val="left"/>
        <w:rPr>
          <w:rFonts w:ascii="宋体" w:hAnsi="宋体"/>
          <w:b/>
          <w:color w:val="auto"/>
          <w:kern w:val="0"/>
          <w:sz w:val="20"/>
          <w:szCs w:val="20"/>
          <w:highlight w:val="none"/>
        </w:rPr>
      </w:pPr>
    </w:p>
    <w:p w14:paraId="295242F0">
      <w:pPr>
        <w:autoSpaceDE w:val="0"/>
        <w:autoSpaceDN w:val="0"/>
        <w:adjustRightInd w:val="0"/>
        <w:snapToGrid w:val="0"/>
        <w:spacing w:line="360" w:lineRule="auto"/>
        <w:jc w:val="left"/>
        <w:rPr>
          <w:rFonts w:ascii="宋体" w:hAnsi="宋体"/>
          <w:b/>
          <w:color w:val="auto"/>
          <w:kern w:val="0"/>
          <w:sz w:val="20"/>
          <w:szCs w:val="20"/>
          <w:highlight w:val="none"/>
        </w:rPr>
      </w:pPr>
    </w:p>
    <w:p w14:paraId="52B4994D">
      <w:pPr>
        <w:autoSpaceDE w:val="0"/>
        <w:autoSpaceDN w:val="0"/>
        <w:adjustRightInd w:val="0"/>
        <w:snapToGrid w:val="0"/>
        <w:spacing w:line="360" w:lineRule="auto"/>
        <w:jc w:val="left"/>
        <w:rPr>
          <w:rFonts w:ascii="宋体" w:hAnsi="宋体"/>
          <w:b/>
          <w:color w:val="auto"/>
          <w:kern w:val="0"/>
          <w:sz w:val="20"/>
          <w:szCs w:val="20"/>
          <w:highlight w:val="none"/>
        </w:rPr>
      </w:pPr>
    </w:p>
    <w:p w14:paraId="1C0679C9">
      <w:pPr>
        <w:autoSpaceDE w:val="0"/>
        <w:autoSpaceDN w:val="0"/>
        <w:adjustRightInd w:val="0"/>
        <w:snapToGrid w:val="0"/>
        <w:spacing w:line="360" w:lineRule="auto"/>
        <w:jc w:val="left"/>
        <w:rPr>
          <w:rFonts w:ascii="宋体" w:hAnsi="宋体"/>
          <w:b/>
          <w:color w:val="auto"/>
          <w:kern w:val="0"/>
          <w:sz w:val="20"/>
          <w:szCs w:val="20"/>
          <w:highlight w:val="none"/>
        </w:rPr>
      </w:pPr>
    </w:p>
    <w:p w14:paraId="043643AC">
      <w:pPr>
        <w:tabs>
          <w:tab w:val="left" w:pos="6080"/>
          <w:tab w:val="left" w:pos="6640"/>
        </w:tabs>
        <w:autoSpaceDE w:val="0"/>
        <w:autoSpaceDN w:val="0"/>
        <w:adjustRightInd w:val="0"/>
        <w:snapToGrid w:val="0"/>
        <w:spacing w:after="160" w:afterLines="50" w:line="360" w:lineRule="auto"/>
        <w:jc w:val="center"/>
        <w:rPr>
          <w:rFonts w:ascii="宋体" w:hAnsi="宋体"/>
          <w:color w:val="auto"/>
          <w:w w:val="99"/>
          <w:kern w:val="0"/>
          <w:sz w:val="28"/>
          <w:szCs w:val="28"/>
          <w:highlight w:val="none"/>
        </w:rPr>
      </w:pPr>
      <w:r>
        <w:rPr>
          <w:rFonts w:hint="eastAsia" w:ascii="宋体" w:hAnsi="宋体"/>
          <w:color w:val="auto"/>
          <w:spacing w:val="1"/>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w:t>
      </w:r>
      <w:r>
        <w:rPr>
          <w:rFonts w:hint="eastAsia" w:ascii="宋体" w:hAnsi="宋体"/>
          <w:color w:val="auto"/>
          <w:w w:val="99"/>
          <w:kern w:val="0"/>
          <w:sz w:val="28"/>
          <w:szCs w:val="28"/>
          <w:highlight w:val="none"/>
        </w:rPr>
        <w:t>公</w:t>
      </w:r>
      <w:r>
        <w:rPr>
          <w:rFonts w:ascii="宋体" w:hAnsi="宋体"/>
          <w:color w:val="auto"/>
          <w:w w:val="99"/>
          <w:kern w:val="0"/>
          <w:sz w:val="28"/>
          <w:szCs w:val="28"/>
          <w:highlight w:val="none"/>
        </w:rPr>
        <w:t>章）</w:t>
      </w:r>
    </w:p>
    <w:p w14:paraId="09CEEECE">
      <w:pPr>
        <w:tabs>
          <w:tab w:val="left" w:pos="6080"/>
          <w:tab w:val="left" w:pos="6640"/>
        </w:tabs>
        <w:autoSpaceDE w:val="0"/>
        <w:autoSpaceDN w:val="0"/>
        <w:adjustRightInd w:val="0"/>
        <w:snapToGrid w:val="0"/>
        <w:spacing w:after="160"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（签字或盖章）</w:t>
      </w:r>
    </w:p>
    <w:p w14:paraId="7875D131">
      <w:pPr>
        <w:spacing w:line="360" w:lineRule="auto"/>
        <w:jc w:val="center"/>
        <w:rPr>
          <w:rFonts w:hint="eastAsia" w:ascii="宋体" w:hAnsi="宋体"/>
          <w:color w:val="auto"/>
          <w:w w:val="99"/>
          <w:kern w:val="0"/>
          <w:sz w:val="28"/>
          <w:szCs w:val="28"/>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p>
    <w:p w14:paraId="321E4877">
      <w:pPr>
        <w:spacing w:line="360" w:lineRule="auto"/>
        <w:jc w:val="center"/>
        <w:rPr>
          <w:rFonts w:hint="default" w:ascii="宋体" w:hAnsi="宋体" w:eastAsia="宋体"/>
          <w:color w:val="auto"/>
          <w:w w:val="99"/>
          <w:kern w:val="0"/>
          <w:sz w:val="28"/>
          <w:szCs w:val="28"/>
          <w:highlight w:val="none"/>
          <w:lang w:val="en-US" w:eastAsia="zh-CN"/>
        </w:rPr>
      </w:pPr>
      <w:r>
        <w:rPr>
          <w:rFonts w:hint="eastAsia" w:ascii="宋体" w:hAnsi="宋体"/>
          <w:color w:val="auto"/>
          <w:w w:val="99"/>
          <w:kern w:val="0"/>
          <w:sz w:val="28"/>
          <w:szCs w:val="28"/>
          <w:highlight w:val="none"/>
        </w:rPr>
        <w:br w:type="page"/>
      </w:r>
      <w:r>
        <w:rPr>
          <w:rFonts w:hint="eastAsia" w:ascii="宋体" w:hAnsi="宋体"/>
          <w:color w:val="auto"/>
          <w:w w:val="99"/>
          <w:kern w:val="0"/>
          <w:sz w:val="24"/>
          <w:szCs w:val="24"/>
          <w:highlight w:val="none"/>
          <w:lang w:val="en-US" w:eastAsia="zh-CN"/>
        </w:rPr>
        <w:t>已标价工程量清单</w:t>
      </w:r>
    </w:p>
    <w:p w14:paraId="401433BE">
      <w:pPr>
        <w:numPr>
          <w:ilvl w:val="0"/>
          <w:numId w:val="0"/>
        </w:numPr>
        <w:jc w:val="both"/>
        <w:rPr>
          <w:rFonts w:hint="eastAsia" w:ascii="宋体" w:hAnsi="宋体" w:eastAsia="仿宋_GB2312" w:cs="MingLiU"/>
          <w:b/>
          <w:bCs/>
          <w:color w:val="auto"/>
          <w:kern w:val="0"/>
          <w:sz w:val="32"/>
          <w:szCs w:val="36"/>
          <w:highlight w:val="none"/>
        </w:rPr>
      </w:pPr>
    </w:p>
    <w:p w14:paraId="7B3FF203">
      <w:pPr>
        <w:rPr>
          <w:highlight w:val="none"/>
        </w:rPr>
      </w:pPr>
    </w:p>
    <w:p w14:paraId="0CAE2341"/>
    <w:sectPr>
      <w:footerReference r:id="rId17" w:type="first"/>
      <w:headerReference r:id="rId15" w:type="default"/>
      <w:footerReference r:id="rId16"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elvetica">
    <w:altName w:val="Arial"/>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621EA">
    <w:pPr>
      <w:tabs>
        <w:tab w:val="center" w:pos="4153"/>
        <w:tab w:val="right" w:pos="8306"/>
      </w:tabs>
    </w:pPr>
    <w:r>
      <w:rPr>
        <w:rFonts w:hint="eastAsia"/>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3824B">
    <w:pPr>
      <w:tabs>
        <w:tab w:val="center" w:pos="4153"/>
        <w:tab w:val="right" w:pos="8306"/>
      </w:tabs>
      <w:ind w:right="360"/>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B254CB">
                          <w:pPr>
                            <w:pStyle w:val="1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3B254CB">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31CAD">
    <w:pPr>
      <w:tabs>
        <w:tab w:val="center" w:pos="4153"/>
        <w:tab w:val="right" w:pos="8306"/>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247709">
                          <w:pPr>
                            <w:pStyle w:val="10"/>
                          </w:pPr>
                          <w:r>
                            <w:fldChar w:fldCharType="begin"/>
                          </w:r>
                          <w:r>
                            <w:instrText xml:space="preserve"> PAGE  \* MERGEFORMAT </w:instrText>
                          </w:r>
                          <w:r>
                            <w:fldChar w:fldCharType="separate"/>
                          </w:r>
                          <w:r>
                            <w:t>56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31247709">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4B3F6">
    <w:pPr>
      <w:tabs>
        <w:tab w:val="center" w:pos="4153"/>
        <w:tab w:val="right" w:pos="8306"/>
      </w:tabs>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F3FE5">
    <w:pPr>
      <w:pStyle w:val="2"/>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5CFF03">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A5CFF03">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2E34C">
    <w:pPr>
      <w:pStyle w:val="2"/>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617AB3">
                          <w:pPr>
                            <w:pStyle w:val="10"/>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4617AB3">
                    <w:pPr>
                      <w:pStyle w:val="1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ABED5">
    <w:pPr>
      <w:spacing w:line="196" w:lineRule="auto"/>
      <w:ind w:left="473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01AFB2">
                          <w:pPr>
                            <w:pStyle w:val="1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A01AFB2">
                    <w:pPr>
                      <w:pStyle w:val="1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24C3B">
    <w:pPr>
      <w:tabs>
        <w:tab w:val="center" w:pos="4153"/>
        <w:tab w:val="right" w:pos="8306"/>
      </w:tabs>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ADEE1E">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6ADEE1E">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485D6">
    <w:pPr>
      <w:tabs>
        <w:tab w:val="center" w:pos="4153"/>
        <w:tab w:val="right"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AD93DD">
                          <w:pPr>
                            <w:pStyle w:val="10"/>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4FAD93DD">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4F016">
    <w:pPr>
      <w:tabs>
        <w:tab w:val="center" w:pos="4153"/>
        <w:tab w:val="right" w:pos="8306"/>
      </w:tabs>
      <w:ind w:right="360"/>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96E638">
                          <w:pPr>
                            <w:pStyle w:val="1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196E638">
                    <w:pPr>
                      <w:pStyle w:val="1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6A4B8">
    <w:pPr>
      <w:tabs>
        <w:tab w:val="center" w:pos="4153"/>
        <w:tab w:val="right"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CDF667">
                          <w:pPr>
                            <w:pStyle w:val="10"/>
                          </w:pPr>
                          <w:r>
                            <w:fldChar w:fldCharType="begin"/>
                          </w:r>
                          <w:r>
                            <w:instrText xml:space="preserve"> PAGE  \* MERGEFORMAT </w:instrText>
                          </w:r>
                          <w:r>
                            <w:fldChar w:fldCharType="separate"/>
                          </w:r>
                          <w:r>
                            <w:t>44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7BCDF667">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6C9FB">
    <w:pPr>
      <w:pBdr>
        <w:bottom w:val="none" w:color="auto" w:sz="0" w:space="1"/>
      </w:pBdr>
      <w:tabs>
        <w:tab w:val="center" w:pos="4153"/>
        <w:tab w:val="right" w:pos="8306"/>
      </w:tabs>
    </w:pPr>
  </w:p>
  <w:p w14:paraId="36DBB969">
    <w:pP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57481">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3774440</wp:posOffset>
              </wp:positionH>
              <wp:positionV relativeFrom="page">
                <wp:posOffset>546735</wp:posOffset>
              </wp:positionV>
              <wp:extent cx="2361565" cy="15176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361565" cy="151765"/>
                      </a:xfrm>
                      <a:prstGeom prst="rect">
                        <a:avLst/>
                      </a:prstGeom>
                      <a:noFill/>
                      <a:ln>
                        <a:noFill/>
                      </a:ln>
                    </wps:spPr>
                    <wps:txbx>
                      <w:txbxContent>
                        <w:p w14:paraId="2496053B">
                          <w:pPr>
                            <w:spacing w:line="239" w:lineRule="exact"/>
                            <w:jc w:val="left"/>
                            <w:rPr>
                              <w:sz w:val="20"/>
                            </w:rPr>
                          </w:pPr>
                        </w:p>
                      </w:txbxContent>
                    </wps:txbx>
                    <wps:bodyPr lIns="0" tIns="0" rIns="0" bIns="0" upright="1"/>
                  </wps:wsp>
                </a:graphicData>
              </a:graphic>
            </wp:anchor>
          </w:drawing>
        </mc:Choice>
        <mc:Fallback>
          <w:pict>
            <v:shape id="_x0000_s1026" o:spid="_x0000_s1026" o:spt="202" type="#_x0000_t202" style="position:absolute;left:0pt;margin-left:297.2pt;margin-top:43.05pt;height:11.95pt;width:185.95pt;mso-position-horizontal-relative:page;mso-position-vertical-relative:page;z-index:-251657216;mso-width-relative:page;mso-height-relative:page;" filled="f" stroked="f" coordsize="21600,21600" o:gfxdata="UEsDBAoAAAAAAIdO4kAAAAAAAAAAAAAAAAAEAAAAZHJzL1BLAwQUAAAACACHTuJA6ddNpNkAAAAK&#10;AQAADwAAAGRycy9kb3ducmV2LnhtbE2Py07DMBBF90j8gzWV2FE7UKwmjVMhBCskRBoWLJ14mliN&#10;xyF2H/w9ZgXL0T2690y5vbiRnXAO1pOCbCmAIXXeWOoVfDQvt2tgIWoyevSECr4xwLa6vip1YfyZ&#10;ajztYs9SCYVCKxhinArOQzeg02HpJ6SU7f3sdEzn3HMz63MqdyO/E0Jypy2lhUFP+DRgd9gdnYLH&#10;T6qf7ddb+17va9s0uaBXeVDqZpGJDbCIl/gHw69+UocqObX+SCawUcFDvlolVMFaZsASkEt5D6xN&#10;ZCYE8Krk/1+ofgBQSwMEFAAAAAgAh07iQH5S5vu7AQAAcgMAAA4AAABkcnMvZTJvRG9jLnhtbK1T&#10;S27bMBDdF8gdCO5jWS5sF4LlAIWRIEDRFkhzAJoiLQL8YUhb8gXaG3TVTfc9l8/RIWU5bbLJIhvq&#10;aWb0Zt4banXTG00OAoJytqblZEqJsNw1yu5q+vjt9voDJSEy2zDtrKjpUQR6s756t+p8JWaudboR&#10;QJDEhqrzNW1j9FVRBN4Kw8LEeWExKR0YFvEVdkUDrEN2o4vZdLooOgeNB8dFCBjdDEl6ZoTXEDop&#10;FRcbx/dG2DiwgtAsoqTQKh/oOk8rpeDxi5RBRKJrikpjPrEJ4m06i/WKVTtgvlX8PAJ7zQjPNBmm&#10;LDa9UG1YZGQP6gWVURxccDJOuDPFICQ7girK6TNvHlrmRdaCVgd/MT28HS3/fPgKRDU1XVJimcGF&#10;n37+OP36c/r9nSyTPZ0PFVY9eKyL/UfX46UZ4wGDSXUvwaQn6iGYR3OPF3NFHwnH4Oz9opwv5pRw&#10;zJXzcokY6Yunrz2EeCecIQnUFHB52VN2+BTiUDqWpGbW3Sqt8wK1/S+AnClSpNGHEROK/bY/69m6&#10;5ohy9L1FK9O1GAGMYDuCvQe1a3GcLDpT4iry3Odrk3b973tu/PSrr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ddNpNkAAAAKAQAADwAAAAAAAAABACAAAAAiAAAAZHJzL2Rvd25yZXYueG1sUEsB&#10;AhQAFAAAAAgAh07iQH5S5vu7AQAAcgMAAA4AAAAAAAAAAQAgAAAAKAEAAGRycy9lMm9Eb2MueG1s&#10;UEsFBgAAAAAGAAYAWQEAAFUFAAAAAA==&#10;">
              <v:fill on="f" focussize="0,0"/>
              <v:stroke on="f"/>
              <v:imagedata o:title=""/>
              <o:lock v:ext="edit" aspectratio="f"/>
              <v:textbox inset="0mm,0mm,0mm,0mm">
                <w:txbxContent>
                  <w:p w14:paraId="2496053B">
                    <w:pPr>
                      <w:spacing w:line="239" w:lineRule="exact"/>
                      <w:jc w:val="left"/>
                      <w:rPr>
                        <w:sz w:val="20"/>
                      </w:rPr>
                    </w:pP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814705</wp:posOffset>
              </wp:positionH>
              <wp:positionV relativeFrom="page">
                <wp:posOffset>556895</wp:posOffset>
              </wp:positionV>
              <wp:extent cx="11684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8400" cy="139700"/>
                      </a:xfrm>
                      <a:prstGeom prst="rect">
                        <a:avLst/>
                      </a:prstGeom>
                      <a:noFill/>
                      <a:ln>
                        <a:noFill/>
                      </a:ln>
                    </wps:spPr>
                    <wps:txbx>
                      <w:txbxContent>
                        <w:p w14:paraId="25B3C6FE">
                          <w:pPr>
                            <w:jc w:val="left"/>
                            <w:rPr>
                              <w:sz w:val="18"/>
                            </w:rPr>
                          </w:pPr>
                        </w:p>
                      </w:txbxContent>
                    </wps:txbx>
                    <wps:bodyPr lIns="0" tIns="0" rIns="0" bIns="0" upright="1"/>
                  </wps:wsp>
                </a:graphicData>
              </a:graphic>
            </wp:anchor>
          </w:drawing>
        </mc:Choice>
        <mc:Fallback>
          <w:pict>
            <v:shape id="_x0000_s1026" o:spid="_x0000_s1026" o:spt="202" type="#_x0000_t202" style="position:absolute;left:0pt;margin-left:64.15pt;margin-top:43.85pt;height:11pt;width:92pt;mso-position-horizontal-relative:page;mso-position-vertical-relative:page;z-index:-251656192;mso-width-relative:page;mso-height-relative:page;" filled="f" stroked="f" coordsize="21600,21600" o:gfxdata="UEsDBAoAAAAAAIdO4kAAAAAAAAAAAAAAAAAEAAAAZHJzL1BLAwQUAAAACACHTuJALXl8ONgAAAAK&#10;AQAADwAAAGRycy9kb3ducmV2LnhtbE2PzU7DMBCE70i8g7VI3KidVGrSEKdCFZyQEGk4cHRiN7Ea&#10;r9PY/eHtWU70ODufZmfKzdWN7GzmYD1KSBYCmMHOa4u9hK/m7SkHFqJCrUaPRsKPCbCp7u9KVWh/&#10;wdqcd7FnFIKhUBKGGKeC89ANxqmw8JNB8vZ+diqSnHuuZ3WhcDfyVIgVd8oifRjUZLaD6Q67k5Pw&#10;8o31qz1+tJ/1vrZNsxb4vjpI+fiQiGdg0VzjPwx/9ak6VNSp9SfUgY2k03xJqIQ8y4ARsExSOrTk&#10;iHUGvCr57YTqF1BLAwQUAAAACACHTuJAOO7gV7oBAAByAwAADgAAAGRycy9lMm9Eb2MueG1srVPN&#10;bhMxEL4j8Q6W78SbUJV2lU0lFLVCQoDU9gEcr5215D95nOzmBeANOHHhznPlORh7symUSw9cvOOZ&#10;8TfzfTO7vBmsIXsZQXvX0PmsokQ64Vvttg19fLh9c0UJJO5abryTDT1IoDer16+WfajlwnfetDIS&#10;BHFQ96GhXUqhZgxEJy2HmQ/SYVD5aHnCa9yyNvIe0a1hi6q6ZL2PbYheSAD0rscgPSHGlwB6pbSQ&#10;ay92Vro0okZpeEJK0OkAdFW6VUqK9FkpkImYhiLTVE4sgvYmn2y15PU28tBpcWqBv6SFZ5ws1w6L&#10;nqHWPHGyi/ofKKtF9OBVmglv2UikKIIs5tUzbe47HmThglJDOIsO/w9WfNp/iUS3DV1Q4rjFgR+/&#10;fzv++HX8+ZUssjx9gBqz7gPmpeG9H3BpJj+gM7MeVLT5i3wIxlHcw1lcOSQi8qP55dVFhSGBsfnb&#10;63doIzx7eh0ipDvpLclGQyMOr2jK9x8hjalTSi7m/K02pgzQuL8ciJk9LLc+tpitNGyGE5+Nbw9I&#10;x3xwKGVei8mIk7GZjF2IetthO4V0gcRRlL5Pa5Nn/ee9FH76V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15fDjYAAAACgEAAA8AAAAAAAAAAQAgAAAAIgAAAGRycy9kb3ducmV2LnhtbFBLAQIU&#10;ABQAAAAIAIdO4kA47uBXugEAAHIDAAAOAAAAAAAAAAEAIAAAACcBAABkcnMvZTJvRG9jLnhtbFBL&#10;BQYAAAAABgAGAFkBAABTBQAAAAA=&#10;">
              <v:fill on="f" focussize="0,0"/>
              <v:stroke on="f"/>
              <v:imagedata o:title=""/>
              <o:lock v:ext="edit" aspectratio="f"/>
              <v:textbox inset="0mm,0mm,0mm,0mm">
                <w:txbxContent>
                  <w:p w14:paraId="25B3C6FE">
                    <w:pPr>
                      <w:jc w:val="left"/>
                      <w:rPr>
                        <w:sz w:val="18"/>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EA71B">
    <w:pPr>
      <w:tabs>
        <w:tab w:val="center" w:pos="4153"/>
        <w:tab w:val="right"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8472B">
    <w:pP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2"/>
      <w:numFmt w:val="decimal"/>
      <w:lvlText w:val="%1."/>
      <w:lvlJc w:val="left"/>
      <w:pPr>
        <w:ind w:left="868"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76" w:hanging="316"/>
      </w:pPr>
      <w:rPr>
        <w:rFonts w:hint="default"/>
        <w:lang w:val="zh-CN" w:eastAsia="zh-CN" w:bidi="zh-CN"/>
      </w:rPr>
    </w:lvl>
    <w:lvl w:ilvl="2" w:tentative="0">
      <w:start w:val="0"/>
      <w:numFmt w:val="bullet"/>
      <w:lvlText w:val="•"/>
      <w:lvlJc w:val="left"/>
      <w:pPr>
        <w:ind w:left="2693" w:hanging="316"/>
      </w:pPr>
      <w:rPr>
        <w:rFonts w:hint="default"/>
        <w:lang w:val="zh-CN" w:eastAsia="zh-CN" w:bidi="zh-CN"/>
      </w:rPr>
    </w:lvl>
    <w:lvl w:ilvl="3" w:tentative="0">
      <w:start w:val="0"/>
      <w:numFmt w:val="bullet"/>
      <w:lvlText w:val="•"/>
      <w:lvlJc w:val="left"/>
      <w:pPr>
        <w:ind w:left="3610" w:hanging="316"/>
      </w:pPr>
      <w:rPr>
        <w:rFonts w:hint="default"/>
        <w:lang w:val="zh-CN" w:eastAsia="zh-CN" w:bidi="zh-CN"/>
      </w:rPr>
    </w:lvl>
    <w:lvl w:ilvl="4" w:tentative="0">
      <w:start w:val="0"/>
      <w:numFmt w:val="bullet"/>
      <w:lvlText w:val="•"/>
      <w:lvlJc w:val="left"/>
      <w:pPr>
        <w:ind w:left="4526" w:hanging="316"/>
      </w:pPr>
      <w:rPr>
        <w:rFonts w:hint="default"/>
        <w:lang w:val="zh-CN" w:eastAsia="zh-CN" w:bidi="zh-CN"/>
      </w:rPr>
    </w:lvl>
    <w:lvl w:ilvl="5" w:tentative="0">
      <w:start w:val="0"/>
      <w:numFmt w:val="bullet"/>
      <w:lvlText w:val="•"/>
      <w:lvlJc w:val="left"/>
      <w:pPr>
        <w:ind w:left="5443" w:hanging="316"/>
      </w:pPr>
      <w:rPr>
        <w:rFonts w:hint="default"/>
        <w:lang w:val="zh-CN" w:eastAsia="zh-CN" w:bidi="zh-CN"/>
      </w:rPr>
    </w:lvl>
    <w:lvl w:ilvl="6" w:tentative="0">
      <w:start w:val="0"/>
      <w:numFmt w:val="bullet"/>
      <w:lvlText w:val="•"/>
      <w:lvlJc w:val="left"/>
      <w:pPr>
        <w:ind w:left="6360" w:hanging="316"/>
      </w:pPr>
      <w:rPr>
        <w:rFonts w:hint="default"/>
        <w:lang w:val="zh-CN" w:eastAsia="zh-CN" w:bidi="zh-CN"/>
      </w:rPr>
    </w:lvl>
    <w:lvl w:ilvl="7" w:tentative="0">
      <w:start w:val="0"/>
      <w:numFmt w:val="bullet"/>
      <w:lvlText w:val="•"/>
      <w:lvlJc w:val="left"/>
      <w:pPr>
        <w:ind w:left="7276" w:hanging="316"/>
      </w:pPr>
      <w:rPr>
        <w:rFonts w:hint="default"/>
        <w:lang w:val="zh-CN" w:eastAsia="zh-CN" w:bidi="zh-CN"/>
      </w:rPr>
    </w:lvl>
    <w:lvl w:ilvl="8" w:tentative="0">
      <w:start w:val="0"/>
      <w:numFmt w:val="bullet"/>
      <w:lvlText w:val="•"/>
      <w:lvlJc w:val="left"/>
      <w:pPr>
        <w:ind w:left="8193" w:hanging="316"/>
      </w:pPr>
      <w:rPr>
        <w:rFonts w:hint="default"/>
        <w:lang w:val="zh-CN" w:eastAsia="zh-CN" w:bidi="zh-CN"/>
      </w:rPr>
    </w:lvl>
  </w:abstractNum>
  <w:abstractNum w:abstractNumId="1">
    <w:nsid w:val="845B5372"/>
    <w:multiLevelType w:val="multilevel"/>
    <w:tmpl w:val="845B5372"/>
    <w:lvl w:ilvl="0" w:tentative="0">
      <w:start w:val="1"/>
      <w:numFmt w:val="decimal"/>
      <w:lvlText w:val="%1."/>
      <w:lvlJc w:val="left"/>
      <w:pPr>
        <w:ind w:left="132" w:hanging="316"/>
      </w:pPr>
      <w:rPr>
        <w:rFonts w:hint="default" w:ascii="宋体" w:hAnsi="宋体" w:eastAsia="宋体" w:cs="宋体"/>
        <w:spacing w:val="-27"/>
        <w:w w:val="99"/>
        <w:sz w:val="19"/>
        <w:szCs w:val="19"/>
        <w:lang w:val="zh-CN" w:eastAsia="zh-CN" w:bidi="zh-CN"/>
      </w:rPr>
    </w:lvl>
    <w:lvl w:ilvl="1" w:tentative="0">
      <w:start w:val="0"/>
      <w:numFmt w:val="bullet"/>
      <w:lvlText w:val="•"/>
      <w:lvlJc w:val="left"/>
      <w:pPr>
        <w:ind w:left="1128" w:hanging="316"/>
      </w:pPr>
      <w:rPr>
        <w:rFonts w:hint="default"/>
        <w:lang w:val="zh-CN" w:eastAsia="zh-CN" w:bidi="zh-CN"/>
      </w:rPr>
    </w:lvl>
    <w:lvl w:ilvl="2" w:tentative="0">
      <w:start w:val="0"/>
      <w:numFmt w:val="bullet"/>
      <w:lvlText w:val="•"/>
      <w:lvlJc w:val="left"/>
      <w:pPr>
        <w:ind w:left="2117" w:hanging="316"/>
      </w:pPr>
      <w:rPr>
        <w:rFonts w:hint="default"/>
        <w:lang w:val="zh-CN" w:eastAsia="zh-CN" w:bidi="zh-CN"/>
      </w:rPr>
    </w:lvl>
    <w:lvl w:ilvl="3" w:tentative="0">
      <w:start w:val="0"/>
      <w:numFmt w:val="bullet"/>
      <w:lvlText w:val="•"/>
      <w:lvlJc w:val="left"/>
      <w:pPr>
        <w:ind w:left="3106" w:hanging="316"/>
      </w:pPr>
      <w:rPr>
        <w:rFonts w:hint="default"/>
        <w:lang w:val="zh-CN" w:eastAsia="zh-CN" w:bidi="zh-CN"/>
      </w:rPr>
    </w:lvl>
    <w:lvl w:ilvl="4" w:tentative="0">
      <w:start w:val="0"/>
      <w:numFmt w:val="bullet"/>
      <w:lvlText w:val="•"/>
      <w:lvlJc w:val="left"/>
      <w:pPr>
        <w:ind w:left="4094" w:hanging="316"/>
      </w:pPr>
      <w:rPr>
        <w:rFonts w:hint="default"/>
        <w:lang w:val="zh-CN" w:eastAsia="zh-CN" w:bidi="zh-CN"/>
      </w:rPr>
    </w:lvl>
    <w:lvl w:ilvl="5" w:tentative="0">
      <w:start w:val="0"/>
      <w:numFmt w:val="bullet"/>
      <w:lvlText w:val="•"/>
      <w:lvlJc w:val="left"/>
      <w:pPr>
        <w:ind w:left="5083" w:hanging="316"/>
      </w:pPr>
      <w:rPr>
        <w:rFonts w:hint="default"/>
        <w:lang w:val="zh-CN" w:eastAsia="zh-CN" w:bidi="zh-CN"/>
      </w:rPr>
    </w:lvl>
    <w:lvl w:ilvl="6" w:tentative="0">
      <w:start w:val="0"/>
      <w:numFmt w:val="bullet"/>
      <w:lvlText w:val="•"/>
      <w:lvlJc w:val="left"/>
      <w:pPr>
        <w:ind w:left="6072" w:hanging="316"/>
      </w:pPr>
      <w:rPr>
        <w:rFonts w:hint="default"/>
        <w:lang w:val="zh-CN" w:eastAsia="zh-CN" w:bidi="zh-CN"/>
      </w:rPr>
    </w:lvl>
    <w:lvl w:ilvl="7" w:tentative="0">
      <w:start w:val="0"/>
      <w:numFmt w:val="bullet"/>
      <w:lvlText w:val="•"/>
      <w:lvlJc w:val="left"/>
      <w:pPr>
        <w:ind w:left="7060" w:hanging="316"/>
      </w:pPr>
      <w:rPr>
        <w:rFonts w:hint="default"/>
        <w:lang w:val="zh-CN" w:eastAsia="zh-CN" w:bidi="zh-CN"/>
      </w:rPr>
    </w:lvl>
    <w:lvl w:ilvl="8" w:tentative="0">
      <w:start w:val="0"/>
      <w:numFmt w:val="bullet"/>
      <w:lvlText w:val="•"/>
      <w:lvlJc w:val="left"/>
      <w:pPr>
        <w:ind w:left="8049" w:hanging="316"/>
      </w:pPr>
      <w:rPr>
        <w:rFonts w:hint="default"/>
        <w:lang w:val="zh-CN" w:eastAsia="zh-CN" w:bidi="zh-CN"/>
      </w:rPr>
    </w:lvl>
  </w:abstractNum>
  <w:abstractNum w:abstractNumId="2">
    <w:nsid w:val="88C6D0E7"/>
    <w:multiLevelType w:val="singleLevel"/>
    <w:tmpl w:val="88C6D0E7"/>
    <w:lvl w:ilvl="0" w:tentative="0">
      <w:start w:val="2"/>
      <w:numFmt w:val="decimal"/>
      <w:lvlText w:val="%1."/>
      <w:lvlJc w:val="left"/>
      <w:pPr>
        <w:tabs>
          <w:tab w:val="left" w:pos="312"/>
        </w:tabs>
      </w:pPr>
    </w:lvl>
  </w:abstractNum>
  <w:abstractNum w:abstractNumId="3">
    <w:nsid w:val="8CAEB125"/>
    <w:multiLevelType w:val="multilevel"/>
    <w:tmpl w:val="8CAEB125"/>
    <w:lvl w:ilvl="0" w:tentative="0">
      <w:start w:val="1"/>
      <w:numFmt w:val="decimal"/>
      <w:lvlText w:val="%1."/>
      <w:lvlJc w:val="left"/>
      <w:pPr>
        <w:ind w:left="303" w:hanging="316"/>
      </w:pPr>
      <w:rPr>
        <w:rFonts w:hint="default" w:ascii="宋体" w:hAnsi="宋体" w:eastAsia="宋体" w:cs="宋体"/>
        <w:spacing w:val="-22"/>
        <w:w w:val="99"/>
        <w:sz w:val="19"/>
        <w:szCs w:val="19"/>
        <w:lang w:val="zh-CN" w:eastAsia="zh-CN" w:bidi="zh-CN"/>
      </w:rPr>
    </w:lvl>
    <w:lvl w:ilvl="1" w:tentative="0">
      <w:start w:val="0"/>
      <w:numFmt w:val="bullet"/>
      <w:lvlText w:val="•"/>
      <w:lvlJc w:val="left"/>
      <w:pPr>
        <w:ind w:left="1272" w:hanging="316"/>
      </w:pPr>
      <w:rPr>
        <w:rFonts w:hint="default"/>
        <w:lang w:val="zh-CN" w:eastAsia="zh-CN" w:bidi="zh-CN"/>
      </w:rPr>
    </w:lvl>
    <w:lvl w:ilvl="2" w:tentative="0">
      <w:start w:val="0"/>
      <w:numFmt w:val="bullet"/>
      <w:lvlText w:val="•"/>
      <w:lvlJc w:val="left"/>
      <w:pPr>
        <w:ind w:left="2245" w:hanging="316"/>
      </w:pPr>
      <w:rPr>
        <w:rFonts w:hint="default"/>
        <w:lang w:val="zh-CN" w:eastAsia="zh-CN" w:bidi="zh-CN"/>
      </w:rPr>
    </w:lvl>
    <w:lvl w:ilvl="3" w:tentative="0">
      <w:start w:val="0"/>
      <w:numFmt w:val="bullet"/>
      <w:lvlText w:val="•"/>
      <w:lvlJc w:val="left"/>
      <w:pPr>
        <w:ind w:left="3218" w:hanging="316"/>
      </w:pPr>
      <w:rPr>
        <w:rFonts w:hint="default"/>
        <w:lang w:val="zh-CN" w:eastAsia="zh-CN" w:bidi="zh-CN"/>
      </w:rPr>
    </w:lvl>
    <w:lvl w:ilvl="4" w:tentative="0">
      <w:start w:val="0"/>
      <w:numFmt w:val="bullet"/>
      <w:lvlText w:val="•"/>
      <w:lvlJc w:val="left"/>
      <w:pPr>
        <w:ind w:left="4190" w:hanging="316"/>
      </w:pPr>
      <w:rPr>
        <w:rFonts w:hint="default"/>
        <w:lang w:val="zh-CN" w:eastAsia="zh-CN" w:bidi="zh-CN"/>
      </w:rPr>
    </w:lvl>
    <w:lvl w:ilvl="5" w:tentative="0">
      <w:start w:val="0"/>
      <w:numFmt w:val="bullet"/>
      <w:lvlText w:val="•"/>
      <w:lvlJc w:val="left"/>
      <w:pPr>
        <w:ind w:left="5163" w:hanging="316"/>
      </w:pPr>
      <w:rPr>
        <w:rFonts w:hint="default"/>
        <w:lang w:val="zh-CN" w:eastAsia="zh-CN" w:bidi="zh-CN"/>
      </w:rPr>
    </w:lvl>
    <w:lvl w:ilvl="6" w:tentative="0">
      <w:start w:val="0"/>
      <w:numFmt w:val="bullet"/>
      <w:lvlText w:val="•"/>
      <w:lvlJc w:val="left"/>
      <w:pPr>
        <w:ind w:left="6136" w:hanging="316"/>
      </w:pPr>
      <w:rPr>
        <w:rFonts w:hint="default"/>
        <w:lang w:val="zh-CN" w:eastAsia="zh-CN" w:bidi="zh-CN"/>
      </w:rPr>
    </w:lvl>
    <w:lvl w:ilvl="7" w:tentative="0">
      <w:start w:val="0"/>
      <w:numFmt w:val="bullet"/>
      <w:lvlText w:val="•"/>
      <w:lvlJc w:val="left"/>
      <w:pPr>
        <w:ind w:left="7108" w:hanging="316"/>
      </w:pPr>
      <w:rPr>
        <w:rFonts w:hint="default"/>
        <w:lang w:val="zh-CN" w:eastAsia="zh-CN" w:bidi="zh-CN"/>
      </w:rPr>
    </w:lvl>
    <w:lvl w:ilvl="8" w:tentative="0">
      <w:start w:val="0"/>
      <w:numFmt w:val="bullet"/>
      <w:lvlText w:val="•"/>
      <w:lvlJc w:val="left"/>
      <w:pPr>
        <w:ind w:left="8081" w:hanging="316"/>
      </w:pPr>
      <w:rPr>
        <w:rFonts w:hint="default"/>
        <w:lang w:val="zh-CN" w:eastAsia="zh-CN" w:bidi="zh-CN"/>
      </w:rPr>
    </w:lvl>
  </w:abstractNum>
  <w:abstractNum w:abstractNumId="4">
    <w:nsid w:val="91995D4F"/>
    <w:multiLevelType w:val="multilevel"/>
    <w:tmpl w:val="91995D4F"/>
    <w:lvl w:ilvl="0" w:tentative="0">
      <w:start w:val="1"/>
      <w:numFmt w:val="decimal"/>
      <w:lvlText w:val="%1."/>
      <w:lvlJc w:val="left"/>
      <w:pPr>
        <w:ind w:left="1038"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938" w:hanging="316"/>
      </w:pPr>
      <w:rPr>
        <w:rFonts w:hint="default"/>
        <w:lang w:val="zh-CN" w:eastAsia="zh-CN" w:bidi="zh-CN"/>
      </w:rPr>
    </w:lvl>
    <w:lvl w:ilvl="2" w:tentative="0">
      <w:start w:val="0"/>
      <w:numFmt w:val="bullet"/>
      <w:lvlText w:val="•"/>
      <w:lvlJc w:val="left"/>
      <w:pPr>
        <w:ind w:left="2837" w:hanging="316"/>
      </w:pPr>
      <w:rPr>
        <w:rFonts w:hint="default"/>
        <w:lang w:val="zh-CN" w:eastAsia="zh-CN" w:bidi="zh-CN"/>
      </w:rPr>
    </w:lvl>
    <w:lvl w:ilvl="3" w:tentative="0">
      <w:start w:val="0"/>
      <w:numFmt w:val="bullet"/>
      <w:lvlText w:val="•"/>
      <w:lvlJc w:val="left"/>
      <w:pPr>
        <w:ind w:left="3736" w:hanging="316"/>
      </w:pPr>
      <w:rPr>
        <w:rFonts w:hint="default"/>
        <w:lang w:val="zh-CN" w:eastAsia="zh-CN" w:bidi="zh-CN"/>
      </w:rPr>
    </w:lvl>
    <w:lvl w:ilvl="4" w:tentative="0">
      <w:start w:val="0"/>
      <w:numFmt w:val="bullet"/>
      <w:lvlText w:val="•"/>
      <w:lvlJc w:val="left"/>
      <w:pPr>
        <w:ind w:left="4634" w:hanging="316"/>
      </w:pPr>
      <w:rPr>
        <w:rFonts w:hint="default"/>
        <w:lang w:val="zh-CN" w:eastAsia="zh-CN" w:bidi="zh-CN"/>
      </w:rPr>
    </w:lvl>
    <w:lvl w:ilvl="5" w:tentative="0">
      <w:start w:val="0"/>
      <w:numFmt w:val="bullet"/>
      <w:lvlText w:val="•"/>
      <w:lvlJc w:val="left"/>
      <w:pPr>
        <w:ind w:left="5533" w:hanging="316"/>
      </w:pPr>
      <w:rPr>
        <w:rFonts w:hint="default"/>
        <w:lang w:val="zh-CN" w:eastAsia="zh-CN" w:bidi="zh-CN"/>
      </w:rPr>
    </w:lvl>
    <w:lvl w:ilvl="6" w:tentative="0">
      <w:start w:val="0"/>
      <w:numFmt w:val="bullet"/>
      <w:lvlText w:val="•"/>
      <w:lvlJc w:val="left"/>
      <w:pPr>
        <w:ind w:left="6432" w:hanging="316"/>
      </w:pPr>
      <w:rPr>
        <w:rFonts w:hint="default"/>
        <w:lang w:val="zh-CN" w:eastAsia="zh-CN" w:bidi="zh-CN"/>
      </w:rPr>
    </w:lvl>
    <w:lvl w:ilvl="7" w:tentative="0">
      <w:start w:val="0"/>
      <w:numFmt w:val="bullet"/>
      <w:lvlText w:val="•"/>
      <w:lvlJc w:val="left"/>
      <w:pPr>
        <w:ind w:left="7330" w:hanging="316"/>
      </w:pPr>
      <w:rPr>
        <w:rFonts w:hint="default"/>
        <w:lang w:val="zh-CN" w:eastAsia="zh-CN" w:bidi="zh-CN"/>
      </w:rPr>
    </w:lvl>
    <w:lvl w:ilvl="8" w:tentative="0">
      <w:start w:val="0"/>
      <w:numFmt w:val="bullet"/>
      <w:lvlText w:val="•"/>
      <w:lvlJc w:val="left"/>
      <w:pPr>
        <w:ind w:left="8229" w:hanging="316"/>
      </w:pPr>
      <w:rPr>
        <w:rFonts w:hint="default"/>
        <w:lang w:val="zh-CN" w:eastAsia="zh-CN" w:bidi="zh-CN"/>
      </w:rPr>
    </w:lvl>
  </w:abstractNum>
  <w:abstractNum w:abstractNumId="5">
    <w:nsid w:val="A134D5EA"/>
    <w:multiLevelType w:val="singleLevel"/>
    <w:tmpl w:val="A134D5EA"/>
    <w:lvl w:ilvl="0" w:tentative="0">
      <w:start w:val="4"/>
      <w:numFmt w:val="chineseCounting"/>
      <w:suff w:val="nothing"/>
      <w:lvlText w:val="%1、"/>
      <w:lvlJc w:val="left"/>
      <w:rPr>
        <w:rFonts w:hint="eastAsia"/>
      </w:rPr>
    </w:lvl>
  </w:abstractNum>
  <w:abstractNum w:abstractNumId="6">
    <w:nsid w:val="B0F1ACD9"/>
    <w:multiLevelType w:val="multilevel"/>
    <w:tmpl w:val="B0F1ACD9"/>
    <w:lvl w:ilvl="0" w:tentative="0">
      <w:start w:val="1"/>
      <w:numFmt w:val="decimal"/>
      <w:lvlText w:val="（%1）"/>
      <w:lvlJc w:val="left"/>
      <w:pPr>
        <w:ind w:left="869" w:hanging="52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76" w:hanging="526"/>
      </w:pPr>
      <w:rPr>
        <w:rFonts w:hint="default"/>
        <w:lang w:val="zh-CN" w:eastAsia="zh-CN" w:bidi="zh-CN"/>
      </w:rPr>
    </w:lvl>
    <w:lvl w:ilvl="2" w:tentative="0">
      <w:start w:val="0"/>
      <w:numFmt w:val="bullet"/>
      <w:lvlText w:val="•"/>
      <w:lvlJc w:val="left"/>
      <w:pPr>
        <w:ind w:left="2693" w:hanging="526"/>
      </w:pPr>
      <w:rPr>
        <w:rFonts w:hint="default"/>
        <w:lang w:val="zh-CN" w:eastAsia="zh-CN" w:bidi="zh-CN"/>
      </w:rPr>
    </w:lvl>
    <w:lvl w:ilvl="3" w:tentative="0">
      <w:start w:val="0"/>
      <w:numFmt w:val="bullet"/>
      <w:lvlText w:val="•"/>
      <w:lvlJc w:val="left"/>
      <w:pPr>
        <w:ind w:left="3610" w:hanging="526"/>
      </w:pPr>
      <w:rPr>
        <w:rFonts w:hint="default"/>
        <w:lang w:val="zh-CN" w:eastAsia="zh-CN" w:bidi="zh-CN"/>
      </w:rPr>
    </w:lvl>
    <w:lvl w:ilvl="4" w:tentative="0">
      <w:start w:val="0"/>
      <w:numFmt w:val="bullet"/>
      <w:lvlText w:val="•"/>
      <w:lvlJc w:val="left"/>
      <w:pPr>
        <w:ind w:left="4526" w:hanging="526"/>
      </w:pPr>
      <w:rPr>
        <w:rFonts w:hint="default"/>
        <w:lang w:val="zh-CN" w:eastAsia="zh-CN" w:bidi="zh-CN"/>
      </w:rPr>
    </w:lvl>
    <w:lvl w:ilvl="5" w:tentative="0">
      <w:start w:val="0"/>
      <w:numFmt w:val="bullet"/>
      <w:lvlText w:val="•"/>
      <w:lvlJc w:val="left"/>
      <w:pPr>
        <w:ind w:left="5443" w:hanging="526"/>
      </w:pPr>
      <w:rPr>
        <w:rFonts w:hint="default"/>
        <w:lang w:val="zh-CN" w:eastAsia="zh-CN" w:bidi="zh-CN"/>
      </w:rPr>
    </w:lvl>
    <w:lvl w:ilvl="6" w:tentative="0">
      <w:start w:val="0"/>
      <w:numFmt w:val="bullet"/>
      <w:lvlText w:val="•"/>
      <w:lvlJc w:val="left"/>
      <w:pPr>
        <w:ind w:left="6360" w:hanging="526"/>
      </w:pPr>
      <w:rPr>
        <w:rFonts w:hint="default"/>
        <w:lang w:val="zh-CN" w:eastAsia="zh-CN" w:bidi="zh-CN"/>
      </w:rPr>
    </w:lvl>
    <w:lvl w:ilvl="7" w:tentative="0">
      <w:start w:val="0"/>
      <w:numFmt w:val="bullet"/>
      <w:lvlText w:val="•"/>
      <w:lvlJc w:val="left"/>
      <w:pPr>
        <w:ind w:left="7276" w:hanging="526"/>
      </w:pPr>
      <w:rPr>
        <w:rFonts w:hint="default"/>
        <w:lang w:val="zh-CN" w:eastAsia="zh-CN" w:bidi="zh-CN"/>
      </w:rPr>
    </w:lvl>
    <w:lvl w:ilvl="8" w:tentative="0">
      <w:start w:val="0"/>
      <w:numFmt w:val="bullet"/>
      <w:lvlText w:val="•"/>
      <w:lvlJc w:val="left"/>
      <w:pPr>
        <w:ind w:left="8193" w:hanging="526"/>
      </w:pPr>
      <w:rPr>
        <w:rFonts w:hint="default"/>
        <w:lang w:val="zh-CN" w:eastAsia="zh-CN" w:bidi="zh-CN"/>
      </w:rPr>
    </w:lvl>
  </w:abstractNum>
  <w:abstractNum w:abstractNumId="7">
    <w:nsid w:val="B8CEF35B"/>
    <w:multiLevelType w:val="multilevel"/>
    <w:tmpl w:val="B8CEF35B"/>
    <w:lvl w:ilvl="0" w:tentative="0">
      <w:start w:val="1"/>
      <w:numFmt w:val="decimal"/>
      <w:lvlText w:val="%1."/>
      <w:lvlJc w:val="left"/>
      <w:pPr>
        <w:ind w:left="303" w:hanging="316"/>
      </w:pPr>
      <w:rPr>
        <w:rFonts w:hint="default" w:ascii="宋体" w:hAnsi="宋体" w:eastAsia="宋体" w:cs="宋体"/>
        <w:spacing w:val="-29"/>
        <w:w w:val="99"/>
        <w:sz w:val="19"/>
        <w:szCs w:val="19"/>
        <w:lang w:val="zh-CN" w:eastAsia="zh-CN" w:bidi="zh-CN"/>
      </w:rPr>
    </w:lvl>
    <w:lvl w:ilvl="1" w:tentative="0">
      <w:start w:val="0"/>
      <w:numFmt w:val="bullet"/>
      <w:lvlText w:val="•"/>
      <w:lvlJc w:val="left"/>
      <w:pPr>
        <w:ind w:left="1272" w:hanging="316"/>
      </w:pPr>
      <w:rPr>
        <w:rFonts w:hint="default"/>
        <w:lang w:val="zh-CN" w:eastAsia="zh-CN" w:bidi="zh-CN"/>
      </w:rPr>
    </w:lvl>
    <w:lvl w:ilvl="2" w:tentative="0">
      <w:start w:val="0"/>
      <w:numFmt w:val="bullet"/>
      <w:lvlText w:val="•"/>
      <w:lvlJc w:val="left"/>
      <w:pPr>
        <w:ind w:left="2245" w:hanging="316"/>
      </w:pPr>
      <w:rPr>
        <w:rFonts w:hint="default"/>
        <w:lang w:val="zh-CN" w:eastAsia="zh-CN" w:bidi="zh-CN"/>
      </w:rPr>
    </w:lvl>
    <w:lvl w:ilvl="3" w:tentative="0">
      <w:start w:val="0"/>
      <w:numFmt w:val="bullet"/>
      <w:lvlText w:val="•"/>
      <w:lvlJc w:val="left"/>
      <w:pPr>
        <w:ind w:left="3218" w:hanging="316"/>
      </w:pPr>
      <w:rPr>
        <w:rFonts w:hint="default"/>
        <w:lang w:val="zh-CN" w:eastAsia="zh-CN" w:bidi="zh-CN"/>
      </w:rPr>
    </w:lvl>
    <w:lvl w:ilvl="4" w:tentative="0">
      <w:start w:val="0"/>
      <w:numFmt w:val="bullet"/>
      <w:lvlText w:val="•"/>
      <w:lvlJc w:val="left"/>
      <w:pPr>
        <w:ind w:left="4190" w:hanging="316"/>
      </w:pPr>
      <w:rPr>
        <w:rFonts w:hint="default"/>
        <w:lang w:val="zh-CN" w:eastAsia="zh-CN" w:bidi="zh-CN"/>
      </w:rPr>
    </w:lvl>
    <w:lvl w:ilvl="5" w:tentative="0">
      <w:start w:val="0"/>
      <w:numFmt w:val="bullet"/>
      <w:lvlText w:val="•"/>
      <w:lvlJc w:val="left"/>
      <w:pPr>
        <w:ind w:left="5163" w:hanging="316"/>
      </w:pPr>
      <w:rPr>
        <w:rFonts w:hint="default"/>
        <w:lang w:val="zh-CN" w:eastAsia="zh-CN" w:bidi="zh-CN"/>
      </w:rPr>
    </w:lvl>
    <w:lvl w:ilvl="6" w:tentative="0">
      <w:start w:val="0"/>
      <w:numFmt w:val="bullet"/>
      <w:lvlText w:val="•"/>
      <w:lvlJc w:val="left"/>
      <w:pPr>
        <w:ind w:left="6136" w:hanging="316"/>
      </w:pPr>
      <w:rPr>
        <w:rFonts w:hint="default"/>
        <w:lang w:val="zh-CN" w:eastAsia="zh-CN" w:bidi="zh-CN"/>
      </w:rPr>
    </w:lvl>
    <w:lvl w:ilvl="7" w:tentative="0">
      <w:start w:val="0"/>
      <w:numFmt w:val="bullet"/>
      <w:lvlText w:val="•"/>
      <w:lvlJc w:val="left"/>
      <w:pPr>
        <w:ind w:left="7108" w:hanging="316"/>
      </w:pPr>
      <w:rPr>
        <w:rFonts w:hint="default"/>
        <w:lang w:val="zh-CN" w:eastAsia="zh-CN" w:bidi="zh-CN"/>
      </w:rPr>
    </w:lvl>
    <w:lvl w:ilvl="8" w:tentative="0">
      <w:start w:val="0"/>
      <w:numFmt w:val="bullet"/>
      <w:lvlText w:val="•"/>
      <w:lvlJc w:val="left"/>
      <w:pPr>
        <w:ind w:left="8081" w:hanging="316"/>
      </w:pPr>
      <w:rPr>
        <w:rFonts w:hint="default"/>
        <w:lang w:val="zh-CN" w:eastAsia="zh-CN" w:bidi="zh-CN"/>
      </w:rPr>
    </w:lvl>
  </w:abstractNum>
  <w:abstractNum w:abstractNumId="8">
    <w:nsid w:val="BB64CFA9"/>
    <w:multiLevelType w:val="multilevel"/>
    <w:tmpl w:val="BB64CFA9"/>
    <w:lvl w:ilvl="0" w:tentative="0">
      <w:start w:val="1"/>
      <w:numFmt w:val="decimal"/>
      <w:lvlText w:val="%1."/>
      <w:lvlJc w:val="left"/>
      <w:pPr>
        <w:ind w:left="303" w:hanging="316"/>
      </w:pPr>
      <w:rPr>
        <w:rFonts w:hint="default" w:ascii="宋体" w:hAnsi="宋体" w:eastAsia="宋体" w:cs="宋体"/>
        <w:spacing w:val="-29"/>
        <w:w w:val="99"/>
        <w:sz w:val="19"/>
        <w:szCs w:val="19"/>
        <w:lang w:val="zh-CN" w:eastAsia="zh-CN" w:bidi="zh-CN"/>
      </w:rPr>
    </w:lvl>
    <w:lvl w:ilvl="1" w:tentative="0">
      <w:start w:val="0"/>
      <w:numFmt w:val="bullet"/>
      <w:lvlText w:val="•"/>
      <w:lvlJc w:val="left"/>
      <w:pPr>
        <w:ind w:left="1272" w:hanging="316"/>
      </w:pPr>
      <w:rPr>
        <w:rFonts w:hint="default"/>
        <w:lang w:val="zh-CN" w:eastAsia="zh-CN" w:bidi="zh-CN"/>
      </w:rPr>
    </w:lvl>
    <w:lvl w:ilvl="2" w:tentative="0">
      <w:start w:val="0"/>
      <w:numFmt w:val="bullet"/>
      <w:lvlText w:val="•"/>
      <w:lvlJc w:val="left"/>
      <w:pPr>
        <w:ind w:left="2245" w:hanging="316"/>
      </w:pPr>
      <w:rPr>
        <w:rFonts w:hint="default"/>
        <w:lang w:val="zh-CN" w:eastAsia="zh-CN" w:bidi="zh-CN"/>
      </w:rPr>
    </w:lvl>
    <w:lvl w:ilvl="3" w:tentative="0">
      <w:start w:val="0"/>
      <w:numFmt w:val="bullet"/>
      <w:lvlText w:val="•"/>
      <w:lvlJc w:val="left"/>
      <w:pPr>
        <w:ind w:left="3218" w:hanging="316"/>
      </w:pPr>
      <w:rPr>
        <w:rFonts w:hint="default"/>
        <w:lang w:val="zh-CN" w:eastAsia="zh-CN" w:bidi="zh-CN"/>
      </w:rPr>
    </w:lvl>
    <w:lvl w:ilvl="4" w:tentative="0">
      <w:start w:val="0"/>
      <w:numFmt w:val="bullet"/>
      <w:lvlText w:val="•"/>
      <w:lvlJc w:val="left"/>
      <w:pPr>
        <w:ind w:left="4190" w:hanging="316"/>
      </w:pPr>
      <w:rPr>
        <w:rFonts w:hint="default"/>
        <w:lang w:val="zh-CN" w:eastAsia="zh-CN" w:bidi="zh-CN"/>
      </w:rPr>
    </w:lvl>
    <w:lvl w:ilvl="5" w:tentative="0">
      <w:start w:val="0"/>
      <w:numFmt w:val="bullet"/>
      <w:lvlText w:val="•"/>
      <w:lvlJc w:val="left"/>
      <w:pPr>
        <w:ind w:left="5163" w:hanging="316"/>
      </w:pPr>
      <w:rPr>
        <w:rFonts w:hint="default"/>
        <w:lang w:val="zh-CN" w:eastAsia="zh-CN" w:bidi="zh-CN"/>
      </w:rPr>
    </w:lvl>
    <w:lvl w:ilvl="6" w:tentative="0">
      <w:start w:val="0"/>
      <w:numFmt w:val="bullet"/>
      <w:lvlText w:val="•"/>
      <w:lvlJc w:val="left"/>
      <w:pPr>
        <w:ind w:left="6136" w:hanging="316"/>
      </w:pPr>
      <w:rPr>
        <w:rFonts w:hint="default"/>
        <w:lang w:val="zh-CN" w:eastAsia="zh-CN" w:bidi="zh-CN"/>
      </w:rPr>
    </w:lvl>
    <w:lvl w:ilvl="7" w:tentative="0">
      <w:start w:val="0"/>
      <w:numFmt w:val="bullet"/>
      <w:lvlText w:val="•"/>
      <w:lvlJc w:val="left"/>
      <w:pPr>
        <w:ind w:left="7108" w:hanging="316"/>
      </w:pPr>
      <w:rPr>
        <w:rFonts w:hint="default"/>
        <w:lang w:val="zh-CN" w:eastAsia="zh-CN" w:bidi="zh-CN"/>
      </w:rPr>
    </w:lvl>
    <w:lvl w:ilvl="8" w:tentative="0">
      <w:start w:val="0"/>
      <w:numFmt w:val="bullet"/>
      <w:lvlText w:val="•"/>
      <w:lvlJc w:val="left"/>
      <w:pPr>
        <w:ind w:left="8081" w:hanging="316"/>
      </w:pPr>
      <w:rPr>
        <w:rFonts w:hint="default"/>
        <w:lang w:val="zh-CN" w:eastAsia="zh-CN" w:bidi="zh-CN"/>
      </w:rPr>
    </w:lvl>
  </w:abstractNum>
  <w:abstractNum w:abstractNumId="9">
    <w:nsid w:val="CEC10790"/>
    <w:multiLevelType w:val="singleLevel"/>
    <w:tmpl w:val="CEC10790"/>
    <w:lvl w:ilvl="0" w:tentative="0">
      <w:start w:val="1"/>
      <w:numFmt w:val="decimal"/>
      <w:suff w:val="nothing"/>
      <w:lvlText w:val="%1、"/>
      <w:lvlJc w:val="left"/>
    </w:lvl>
  </w:abstractNum>
  <w:abstractNum w:abstractNumId="10">
    <w:nsid w:val="D6659358"/>
    <w:multiLevelType w:val="singleLevel"/>
    <w:tmpl w:val="D6659358"/>
    <w:lvl w:ilvl="0" w:tentative="0">
      <w:start w:val="5"/>
      <w:numFmt w:val="decimal"/>
      <w:lvlText w:val="%1."/>
      <w:lvlJc w:val="left"/>
      <w:pPr>
        <w:tabs>
          <w:tab w:val="left" w:pos="312"/>
        </w:tabs>
      </w:pPr>
    </w:lvl>
  </w:abstractNum>
  <w:abstractNum w:abstractNumId="11">
    <w:nsid w:val="E093A4B0"/>
    <w:multiLevelType w:val="multilevel"/>
    <w:tmpl w:val="E093A4B0"/>
    <w:lvl w:ilvl="0" w:tentative="0">
      <w:start w:val="2"/>
      <w:numFmt w:val="decimal"/>
      <w:lvlText w:val="%1."/>
      <w:lvlJc w:val="left"/>
      <w:pPr>
        <w:ind w:left="868"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76" w:hanging="316"/>
      </w:pPr>
      <w:rPr>
        <w:rFonts w:hint="default"/>
        <w:lang w:val="zh-CN" w:eastAsia="zh-CN" w:bidi="zh-CN"/>
      </w:rPr>
    </w:lvl>
    <w:lvl w:ilvl="2" w:tentative="0">
      <w:start w:val="0"/>
      <w:numFmt w:val="bullet"/>
      <w:lvlText w:val="•"/>
      <w:lvlJc w:val="left"/>
      <w:pPr>
        <w:ind w:left="2693" w:hanging="316"/>
      </w:pPr>
      <w:rPr>
        <w:rFonts w:hint="default"/>
        <w:lang w:val="zh-CN" w:eastAsia="zh-CN" w:bidi="zh-CN"/>
      </w:rPr>
    </w:lvl>
    <w:lvl w:ilvl="3" w:tentative="0">
      <w:start w:val="0"/>
      <w:numFmt w:val="bullet"/>
      <w:lvlText w:val="•"/>
      <w:lvlJc w:val="left"/>
      <w:pPr>
        <w:ind w:left="3610" w:hanging="316"/>
      </w:pPr>
      <w:rPr>
        <w:rFonts w:hint="default"/>
        <w:lang w:val="zh-CN" w:eastAsia="zh-CN" w:bidi="zh-CN"/>
      </w:rPr>
    </w:lvl>
    <w:lvl w:ilvl="4" w:tentative="0">
      <w:start w:val="0"/>
      <w:numFmt w:val="bullet"/>
      <w:lvlText w:val="•"/>
      <w:lvlJc w:val="left"/>
      <w:pPr>
        <w:ind w:left="4526" w:hanging="316"/>
      </w:pPr>
      <w:rPr>
        <w:rFonts w:hint="default"/>
        <w:lang w:val="zh-CN" w:eastAsia="zh-CN" w:bidi="zh-CN"/>
      </w:rPr>
    </w:lvl>
    <w:lvl w:ilvl="5" w:tentative="0">
      <w:start w:val="0"/>
      <w:numFmt w:val="bullet"/>
      <w:lvlText w:val="•"/>
      <w:lvlJc w:val="left"/>
      <w:pPr>
        <w:ind w:left="5443" w:hanging="316"/>
      </w:pPr>
      <w:rPr>
        <w:rFonts w:hint="default"/>
        <w:lang w:val="zh-CN" w:eastAsia="zh-CN" w:bidi="zh-CN"/>
      </w:rPr>
    </w:lvl>
    <w:lvl w:ilvl="6" w:tentative="0">
      <w:start w:val="0"/>
      <w:numFmt w:val="bullet"/>
      <w:lvlText w:val="•"/>
      <w:lvlJc w:val="left"/>
      <w:pPr>
        <w:ind w:left="6360" w:hanging="316"/>
      </w:pPr>
      <w:rPr>
        <w:rFonts w:hint="default"/>
        <w:lang w:val="zh-CN" w:eastAsia="zh-CN" w:bidi="zh-CN"/>
      </w:rPr>
    </w:lvl>
    <w:lvl w:ilvl="7" w:tentative="0">
      <w:start w:val="0"/>
      <w:numFmt w:val="bullet"/>
      <w:lvlText w:val="•"/>
      <w:lvlJc w:val="left"/>
      <w:pPr>
        <w:ind w:left="7276" w:hanging="316"/>
      </w:pPr>
      <w:rPr>
        <w:rFonts w:hint="default"/>
        <w:lang w:val="zh-CN" w:eastAsia="zh-CN" w:bidi="zh-CN"/>
      </w:rPr>
    </w:lvl>
    <w:lvl w:ilvl="8" w:tentative="0">
      <w:start w:val="0"/>
      <w:numFmt w:val="bullet"/>
      <w:lvlText w:val="•"/>
      <w:lvlJc w:val="left"/>
      <w:pPr>
        <w:ind w:left="8193" w:hanging="316"/>
      </w:pPr>
      <w:rPr>
        <w:rFonts w:hint="default"/>
        <w:lang w:val="zh-CN" w:eastAsia="zh-CN" w:bidi="zh-CN"/>
      </w:rPr>
    </w:lvl>
  </w:abstractNum>
  <w:abstractNum w:abstractNumId="12">
    <w:nsid w:val="F7735DC9"/>
    <w:multiLevelType w:val="multilevel"/>
    <w:tmpl w:val="F7735DC9"/>
    <w:lvl w:ilvl="0" w:tentative="0">
      <w:start w:val="1"/>
      <w:numFmt w:val="decimal"/>
      <w:lvlText w:val="%1."/>
      <w:lvlJc w:val="left"/>
      <w:pPr>
        <w:ind w:left="303" w:hanging="316"/>
      </w:pPr>
      <w:rPr>
        <w:rFonts w:hint="default" w:ascii="宋体" w:hAnsi="宋体" w:eastAsia="宋体" w:cs="宋体"/>
        <w:spacing w:val="-94"/>
        <w:w w:val="99"/>
        <w:sz w:val="19"/>
        <w:szCs w:val="19"/>
        <w:lang w:val="zh-CN" w:eastAsia="zh-CN" w:bidi="zh-CN"/>
      </w:rPr>
    </w:lvl>
    <w:lvl w:ilvl="1" w:tentative="0">
      <w:start w:val="0"/>
      <w:numFmt w:val="bullet"/>
      <w:lvlText w:val="•"/>
      <w:lvlJc w:val="left"/>
      <w:pPr>
        <w:ind w:left="1272" w:hanging="316"/>
      </w:pPr>
      <w:rPr>
        <w:rFonts w:hint="default"/>
        <w:lang w:val="zh-CN" w:eastAsia="zh-CN" w:bidi="zh-CN"/>
      </w:rPr>
    </w:lvl>
    <w:lvl w:ilvl="2" w:tentative="0">
      <w:start w:val="0"/>
      <w:numFmt w:val="bullet"/>
      <w:lvlText w:val="•"/>
      <w:lvlJc w:val="left"/>
      <w:pPr>
        <w:ind w:left="2245" w:hanging="316"/>
      </w:pPr>
      <w:rPr>
        <w:rFonts w:hint="default"/>
        <w:lang w:val="zh-CN" w:eastAsia="zh-CN" w:bidi="zh-CN"/>
      </w:rPr>
    </w:lvl>
    <w:lvl w:ilvl="3" w:tentative="0">
      <w:start w:val="0"/>
      <w:numFmt w:val="bullet"/>
      <w:lvlText w:val="•"/>
      <w:lvlJc w:val="left"/>
      <w:pPr>
        <w:ind w:left="3218" w:hanging="316"/>
      </w:pPr>
      <w:rPr>
        <w:rFonts w:hint="default"/>
        <w:lang w:val="zh-CN" w:eastAsia="zh-CN" w:bidi="zh-CN"/>
      </w:rPr>
    </w:lvl>
    <w:lvl w:ilvl="4" w:tentative="0">
      <w:start w:val="0"/>
      <w:numFmt w:val="bullet"/>
      <w:lvlText w:val="•"/>
      <w:lvlJc w:val="left"/>
      <w:pPr>
        <w:ind w:left="4190" w:hanging="316"/>
      </w:pPr>
      <w:rPr>
        <w:rFonts w:hint="default"/>
        <w:lang w:val="zh-CN" w:eastAsia="zh-CN" w:bidi="zh-CN"/>
      </w:rPr>
    </w:lvl>
    <w:lvl w:ilvl="5" w:tentative="0">
      <w:start w:val="0"/>
      <w:numFmt w:val="bullet"/>
      <w:lvlText w:val="•"/>
      <w:lvlJc w:val="left"/>
      <w:pPr>
        <w:ind w:left="5163" w:hanging="316"/>
      </w:pPr>
      <w:rPr>
        <w:rFonts w:hint="default"/>
        <w:lang w:val="zh-CN" w:eastAsia="zh-CN" w:bidi="zh-CN"/>
      </w:rPr>
    </w:lvl>
    <w:lvl w:ilvl="6" w:tentative="0">
      <w:start w:val="0"/>
      <w:numFmt w:val="bullet"/>
      <w:lvlText w:val="•"/>
      <w:lvlJc w:val="left"/>
      <w:pPr>
        <w:ind w:left="6136" w:hanging="316"/>
      </w:pPr>
      <w:rPr>
        <w:rFonts w:hint="default"/>
        <w:lang w:val="zh-CN" w:eastAsia="zh-CN" w:bidi="zh-CN"/>
      </w:rPr>
    </w:lvl>
    <w:lvl w:ilvl="7" w:tentative="0">
      <w:start w:val="0"/>
      <w:numFmt w:val="bullet"/>
      <w:lvlText w:val="•"/>
      <w:lvlJc w:val="left"/>
      <w:pPr>
        <w:ind w:left="7108" w:hanging="316"/>
      </w:pPr>
      <w:rPr>
        <w:rFonts w:hint="default"/>
        <w:lang w:val="zh-CN" w:eastAsia="zh-CN" w:bidi="zh-CN"/>
      </w:rPr>
    </w:lvl>
    <w:lvl w:ilvl="8" w:tentative="0">
      <w:start w:val="0"/>
      <w:numFmt w:val="bullet"/>
      <w:lvlText w:val="•"/>
      <w:lvlJc w:val="left"/>
      <w:pPr>
        <w:ind w:left="8081" w:hanging="316"/>
      </w:pPr>
      <w:rPr>
        <w:rFonts w:hint="default"/>
        <w:lang w:val="zh-CN" w:eastAsia="zh-CN" w:bidi="zh-CN"/>
      </w:rPr>
    </w:lvl>
  </w:abstractNum>
  <w:abstractNum w:abstractNumId="13">
    <w:nsid w:val="1ACDE60F"/>
    <w:multiLevelType w:val="multilevel"/>
    <w:tmpl w:val="1ACDE60F"/>
    <w:lvl w:ilvl="0" w:tentative="0">
      <w:start w:val="1"/>
      <w:numFmt w:val="decimal"/>
      <w:lvlText w:val="%1."/>
      <w:lvlJc w:val="left"/>
      <w:pPr>
        <w:ind w:left="132" w:hanging="316"/>
      </w:pPr>
      <w:rPr>
        <w:rFonts w:hint="default" w:ascii="宋体" w:hAnsi="宋体" w:eastAsia="宋体" w:cs="宋体"/>
        <w:spacing w:val="-27"/>
        <w:w w:val="99"/>
        <w:sz w:val="19"/>
        <w:szCs w:val="19"/>
        <w:lang w:val="zh-CN" w:eastAsia="zh-CN" w:bidi="zh-CN"/>
      </w:rPr>
    </w:lvl>
    <w:lvl w:ilvl="1" w:tentative="0">
      <w:start w:val="1"/>
      <w:numFmt w:val="decimal"/>
      <w:lvlText w:val="（%2）"/>
      <w:lvlJc w:val="left"/>
      <w:pPr>
        <w:ind w:left="1250" w:hanging="527"/>
      </w:pPr>
      <w:rPr>
        <w:rFonts w:hint="default" w:ascii="宋体" w:hAnsi="宋体" w:eastAsia="宋体" w:cs="宋体"/>
        <w:spacing w:val="-1"/>
        <w:w w:val="99"/>
        <w:sz w:val="19"/>
        <w:szCs w:val="19"/>
        <w:lang w:val="zh-CN" w:eastAsia="zh-CN" w:bidi="zh-CN"/>
      </w:rPr>
    </w:lvl>
    <w:lvl w:ilvl="2" w:tentative="0">
      <w:start w:val="0"/>
      <w:numFmt w:val="bullet"/>
      <w:lvlText w:val="•"/>
      <w:lvlJc w:val="left"/>
      <w:pPr>
        <w:ind w:left="2234" w:hanging="527"/>
      </w:pPr>
      <w:rPr>
        <w:rFonts w:hint="default"/>
        <w:lang w:val="zh-CN" w:eastAsia="zh-CN" w:bidi="zh-CN"/>
      </w:rPr>
    </w:lvl>
    <w:lvl w:ilvl="3" w:tentative="0">
      <w:start w:val="0"/>
      <w:numFmt w:val="bullet"/>
      <w:lvlText w:val="•"/>
      <w:lvlJc w:val="left"/>
      <w:pPr>
        <w:ind w:left="3208" w:hanging="527"/>
      </w:pPr>
      <w:rPr>
        <w:rFonts w:hint="default"/>
        <w:lang w:val="zh-CN" w:eastAsia="zh-CN" w:bidi="zh-CN"/>
      </w:rPr>
    </w:lvl>
    <w:lvl w:ilvl="4" w:tentative="0">
      <w:start w:val="0"/>
      <w:numFmt w:val="bullet"/>
      <w:lvlText w:val="•"/>
      <w:lvlJc w:val="left"/>
      <w:pPr>
        <w:ind w:left="4182" w:hanging="527"/>
      </w:pPr>
      <w:rPr>
        <w:rFonts w:hint="default"/>
        <w:lang w:val="zh-CN" w:eastAsia="zh-CN" w:bidi="zh-CN"/>
      </w:rPr>
    </w:lvl>
    <w:lvl w:ilvl="5" w:tentative="0">
      <w:start w:val="0"/>
      <w:numFmt w:val="bullet"/>
      <w:lvlText w:val="•"/>
      <w:lvlJc w:val="left"/>
      <w:pPr>
        <w:ind w:left="5156" w:hanging="527"/>
      </w:pPr>
      <w:rPr>
        <w:rFonts w:hint="default"/>
        <w:lang w:val="zh-CN" w:eastAsia="zh-CN" w:bidi="zh-CN"/>
      </w:rPr>
    </w:lvl>
    <w:lvl w:ilvl="6" w:tentative="0">
      <w:start w:val="0"/>
      <w:numFmt w:val="bullet"/>
      <w:lvlText w:val="•"/>
      <w:lvlJc w:val="left"/>
      <w:pPr>
        <w:ind w:left="6130" w:hanging="527"/>
      </w:pPr>
      <w:rPr>
        <w:rFonts w:hint="default"/>
        <w:lang w:val="zh-CN" w:eastAsia="zh-CN" w:bidi="zh-CN"/>
      </w:rPr>
    </w:lvl>
    <w:lvl w:ilvl="7" w:tentative="0">
      <w:start w:val="0"/>
      <w:numFmt w:val="bullet"/>
      <w:lvlText w:val="•"/>
      <w:lvlJc w:val="left"/>
      <w:pPr>
        <w:ind w:left="7104" w:hanging="527"/>
      </w:pPr>
      <w:rPr>
        <w:rFonts w:hint="default"/>
        <w:lang w:val="zh-CN" w:eastAsia="zh-CN" w:bidi="zh-CN"/>
      </w:rPr>
    </w:lvl>
    <w:lvl w:ilvl="8" w:tentative="0">
      <w:start w:val="0"/>
      <w:numFmt w:val="bullet"/>
      <w:lvlText w:val="•"/>
      <w:lvlJc w:val="left"/>
      <w:pPr>
        <w:ind w:left="8078" w:hanging="527"/>
      </w:pPr>
      <w:rPr>
        <w:rFonts w:hint="default"/>
        <w:lang w:val="zh-CN" w:eastAsia="zh-CN" w:bidi="zh-CN"/>
      </w:rPr>
    </w:lvl>
  </w:abstractNum>
  <w:abstractNum w:abstractNumId="14">
    <w:nsid w:val="243FCF68"/>
    <w:multiLevelType w:val="multilevel"/>
    <w:tmpl w:val="243FCF68"/>
    <w:lvl w:ilvl="0" w:tentative="0">
      <w:start w:val="2"/>
      <w:numFmt w:val="decimal"/>
      <w:lvlText w:val="%1."/>
      <w:lvlJc w:val="left"/>
      <w:pPr>
        <w:ind w:left="868"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76" w:hanging="316"/>
      </w:pPr>
      <w:rPr>
        <w:rFonts w:hint="default"/>
        <w:lang w:val="zh-CN" w:eastAsia="zh-CN" w:bidi="zh-CN"/>
      </w:rPr>
    </w:lvl>
    <w:lvl w:ilvl="2" w:tentative="0">
      <w:start w:val="0"/>
      <w:numFmt w:val="bullet"/>
      <w:lvlText w:val="•"/>
      <w:lvlJc w:val="left"/>
      <w:pPr>
        <w:ind w:left="2693" w:hanging="316"/>
      </w:pPr>
      <w:rPr>
        <w:rFonts w:hint="default"/>
        <w:lang w:val="zh-CN" w:eastAsia="zh-CN" w:bidi="zh-CN"/>
      </w:rPr>
    </w:lvl>
    <w:lvl w:ilvl="3" w:tentative="0">
      <w:start w:val="0"/>
      <w:numFmt w:val="bullet"/>
      <w:lvlText w:val="•"/>
      <w:lvlJc w:val="left"/>
      <w:pPr>
        <w:ind w:left="3610" w:hanging="316"/>
      </w:pPr>
      <w:rPr>
        <w:rFonts w:hint="default"/>
        <w:lang w:val="zh-CN" w:eastAsia="zh-CN" w:bidi="zh-CN"/>
      </w:rPr>
    </w:lvl>
    <w:lvl w:ilvl="4" w:tentative="0">
      <w:start w:val="0"/>
      <w:numFmt w:val="bullet"/>
      <w:lvlText w:val="•"/>
      <w:lvlJc w:val="left"/>
      <w:pPr>
        <w:ind w:left="4526" w:hanging="316"/>
      </w:pPr>
      <w:rPr>
        <w:rFonts w:hint="default"/>
        <w:lang w:val="zh-CN" w:eastAsia="zh-CN" w:bidi="zh-CN"/>
      </w:rPr>
    </w:lvl>
    <w:lvl w:ilvl="5" w:tentative="0">
      <w:start w:val="0"/>
      <w:numFmt w:val="bullet"/>
      <w:lvlText w:val="•"/>
      <w:lvlJc w:val="left"/>
      <w:pPr>
        <w:ind w:left="5443" w:hanging="316"/>
      </w:pPr>
      <w:rPr>
        <w:rFonts w:hint="default"/>
        <w:lang w:val="zh-CN" w:eastAsia="zh-CN" w:bidi="zh-CN"/>
      </w:rPr>
    </w:lvl>
    <w:lvl w:ilvl="6" w:tentative="0">
      <w:start w:val="0"/>
      <w:numFmt w:val="bullet"/>
      <w:lvlText w:val="•"/>
      <w:lvlJc w:val="left"/>
      <w:pPr>
        <w:ind w:left="6360" w:hanging="316"/>
      </w:pPr>
      <w:rPr>
        <w:rFonts w:hint="default"/>
        <w:lang w:val="zh-CN" w:eastAsia="zh-CN" w:bidi="zh-CN"/>
      </w:rPr>
    </w:lvl>
    <w:lvl w:ilvl="7" w:tentative="0">
      <w:start w:val="0"/>
      <w:numFmt w:val="bullet"/>
      <w:lvlText w:val="•"/>
      <w:lvlJc w:val="left"/>
      <w:pPr>
        <w:ind w:left="7276" w:hanging="316"/>
      </w:pPr>
      <w:rPr>
        <w:rFonts w:hint="default"/>
        <w:lang w:val="zh-CN" w:eastAsia="zh-CN" w:bidi="zh-CN"/>
      </w:rPr>
    </w:lvl>
    <w:lvl w:ilvl="8" w:tentative="0">
      <w:start w:val="0"/>
      <w:numFmt w:val="bullet"/>
      <w:lvlText w:val="•"/>
      <w:lvlJc w:val="left"/>
      <w:pPr>
        <w:ind w:left="8193" w:hanging="316"/>
      </w:pPr>
      <w:rPr>
        <w:rFonts w:hint="default"/>
        <w:lang w:val="zh-CN" w:eastAsia="zh-CN" w:bidi="zh-CN"/>
      </w:rPr>
    </w:lvl>
  </w:abstractNum>
  <w:abstractNum w:abstractNumId="15">
    <w:nsid w:val="30FC5B15"/>
    <w:multiLevelType w:val="multilevel"/>
    <w:tmpl w:val="30FC5B15"/>
    <w:lvl w:ilvl="0" w:tentative="0">
      <w:start w:val="1"/>
      <w:numFmt w:val="decimal"/>
      <w:lvlText w:val="%1."/>
      <w:lvlJc w:val="left"/>
      <w:pPr>
        <w:ind w:left="132" w:hanging="316"/>
      </w:pPr>
      <w:rPr>
        <w:rFonts w:hint="default" w:ascii="宋体" w:hAnsi="宋体" w:eastAsia="宋体" w:cs="宋体"/>
        <w:spacing w:val="-20"/>
        <w:w w:val="99"/>
        <w:sz w:val="19"/>
        <w:szCs w:val="19"/>
        <w:lang w:val="zh-CN" w:eastAsia="zh-CN" w:bidi="zh-CN"/>
      </w:rPr>
    </w:lvl>
    <w:lvl w:ilvl="1" w:tentative="0">
      <w:start w:val="0"/>
      <w:numFmt w:val="bullet"/>
      <w:lvlText w:val="•"/>
      <w:lvlJc w:val="left"/>
      <w:pPr>
        <w:ind w:left="1128" w:hanging="316"/>
      </w:pPr>
      <w:rPr>
        <w:rFonts w:hint="default"/>
        <w:lang w:val="zh-CN" w:eastAsia="zh-CN" w:bidi="zh-CN"/>
      </w:rPr>
    </w:lvl>
    <w:lvl w:ilvl="2" w:tentative="0">
      <w:start w:val="0"/>
      <w:numFmt w:val="bullet"/>
      <w:lvlText w:val="•"/>
      <w:lvlJc w:val="left"/>
      <w:pPr>
        <w:ind w:left="2117" w:hanging="316"/>
      </w:pPr>
      <w:rPr>
        <w:rFonts w:hint="default"/>
        <w:lang w:val="zh-CN" w:eastAsia="zh-CN" w:bidi="zh-CN"/>
      </w:rPr>
    </w:lvl>
    <w:lvl w:ilvl="3" w:tentative="0">
      <w:start w:val="0"/>
      <w:numFmt w:val="bullet"/>
      <w:lvlText w:val="•"/>
      <w:lvlJc w:val="left"/>
      <w:pPr>
        <w:ind w:left="3106" w:hanging="316"/>
      </w:pPr>
      <w:rPr>
        <w:rFonts w:hint="default"/>
        <w:lang w:val="zh-CN" w:eastAsia="zh-CN" w:bidi="zh-CN"/>
      </w:rPr>
    </w:lvl>
    <w:lvl w:ilvl="4" w:tentative="0">
      <w:start w:val="0"/>
      <w:numFmt w:val="bullet"/>
      <w:lvlText w:val="•"/>
      <w:lvlJc w:val="left"/>
      <w:pPr>
        <w:ind w:left="4094" w:hanging="316"/>
      </w:pPr>
      <w:rPr>
        <w:rFonts w:hint="default"/>
        <w:lang w:val="zh-CN" w:eastAsia="zh-CN" w:bidi="zh-CN"/>
      </w:rPr>
    </w:lvl>
    <w:lvl w:ilvl="5" w:tentative="0">
      <w:start w:val="0"/>
      <w:numFmt w:val="bullet"/>
      <w:lvlText w:val="•"/>
      <w:lvlJc w:val="left"/>
      <w:pPr>
        <w:ind w:left="5083" w:hanging="316"/>
      </w:pPr>
      <w:rPr>
        <w:rFonts w:hint="default"/>
        <w:lang w:val="zh-CN" w:eastAsia="zh-CN" w:bidi="zh-CN"/>
      </w:rPr>
    </w:lvl>
    <w:lvl w:ilvl="6" w:tentative="0">
      <w:start w:val="0"/>
      <w:numFmt w:val="bullet"/>
      <w:lvlText w:val="•"/>
      <w:lvlJc w:val="left"/>
      <w:pPr>
        <w:ind w:left="6072" w:hanging="316"/>
      </w:pPr>
      <w:rPr>
        <w:rFonts w:hint="default"/>
        <w:lang w:val="zh-CN" w:eastAsia="zh-CN" w:bidi="zh-CN"/>
      </w:rPr>
    </w:lvl>
    <w:lvl w:ilvl="7" w:tentative="0">
      <w:start w:val="0"/>
      <w:numFmt w:val="bullet"/>
      <w:lvlText w:val="•"/>
      <w:lvlJc w:val="left"/>
      <w:pPr>
        <w:ind w:left="7060" w:hanging="316"/>
      </w:pPr>
      <w:rPr>
        <w:rFonts w:hint="default"/>
        <w:lang w:val="zh-CN" w:eastAsia="zh-CN" w:bidi="zh-CN"/>
      </w:rPr>
    </w:lvl>
    <w:lvl w:ilvl="8" w:tentative="0">
      <w:start w:val="0"/>
      <w:numFmt w:val="bullet"/>
      <w:lvlText w:val="•"/>
      <w:lvlJc w:val="left"/>
      <w:pPr>
        <w:ind w:left="8049" w:hanging="316"/>
      </w:pPr>
      <w:rPr>
        <w:rFonts w:hint="default"/>
        <w:lang w:val="zh-CN" w:eastAsia="zh-CN" w:bidi="zh-CN"/>
      </w:rPr>
    </w:lvl>
  </w:abstractNum>
  <w:abstractNum w:abstractNumId="16">
    <w:nsid w:val="322DA995"/>
    <w:multiLevelType w:val="singleLevel"/>
    <w:tmpl w:val="322DA995"/>
    <w:lvl w:ilvl="0" w:tentative="0">
      <w:start w:val="5"/>
      <w:numFmt w:val="chineseCounting"/>
      <w:suff w:val="nothing"/>
      <w:lvlText w:val="%1、"/>
      <w:lvlJc w:val="left"/>
      <w:rPr>
        <w:rFonts w:hint="eastAsia"/>
      </w:rPr>
    </w:lvl>
  </w:abstractNum>
  <w:abstractNum w:abstractNumId="17">
    <w:nsid w:val="46A08BB8"/>
    <w:multiLevelType w:val="multilevel"/>
    <w:tmpl w:val="46A08BB8"/>
    <w:lvl w:ilvl="0" w:tentative="0">
      <w:start w:val="1"/>
      <w:numFmt w:val="decimal"/>
      <w:lvlText w:val="（%1）"/>
      <w:lvlJc w:val="left"/>
      <w:pPr>
        <w:ind w:left="303" w:hanging="527"/>
      </w:pPr>
      <w:rPr>
        <w:rFonts w:hint="default" w:ascii="宋体" w:hAnsi="宋体" w:eastAsia="宋体" w:cs="宋体"/>
        <w:spacing w:val="-44"/>
        <w:w w:val="99"/>
        <w:sz w:val="19"/>
        <w:szCs w:val="19"/>
        <w:lang w:val="zh-CN" w:eastAsia="zh-CN" w:bidi="zh-CN"/>
      </w:rPr>
    </w:lvl>
    <w:lvl w:ilvl="1" w:tentative="0">
      <w:start w:val="1"/>
      <w:numFmt w:val="decimal"/>
      <w:lvlText w:val="%2."/>
      <w:lvlJc w:val="left"/>
      <w:pPr>
        <w:ind w:left="303" w:hanging="212"/>
      </w:pPr>
      <w:rPr>
        <w:rFonts w:hint="default" w:ascii="宋体" w:hAnsi="宋体" w:eastAsia="宋体" w:cs="宋体"/>
        <w:spacing w:val="1"/>
        <w:w w:val="99"/>
        <w:sz w:val="19"/>
        <w:szCs w:val="19"/>
        <w:lang w:val="zh-CN" w:eastAsia="zh-CN" w:bidi="zh-CN"/>
      </w:rPr>
    </w:lvl>
    <w:lvl w:ilvl="2" w:tentative="0">
      <w:start w:val="0"/>
      <w:numFmt w:val="bullet"/>
      <w:lvlText w:val="•"/>
      <w:lvlJc w:val="left"/>
      <w:pPr>
        <w:ind w:left="2245" w:hanging="212"/>
      </w:pPr>
      <w:rPr>
        <w:rFonts w:hint="default"/>
        <w:lang w:val="zh-CN" w:eastAsia="zh-CN" w:bidi="zh-CN"/>
      </w:rPr>
    </w:lvl>
    <w:lvl w:ilvl="3" w:tentative="0">
      <w:start w:val="0"/>
      <w:numFmt w:val="bullet"/>
      <w:lvlText w:val="•"/>
      <w:lvlJc w:val="left"/>
      <w:pPr>
        <w:ind w:left="3218" w:hanging="212"/>
      </w:pPr>
      <w:rPr>
        <w:rFonts w:hint="default"/>
        <w:lang w:val="zh-CN" w:eastAsia="zh-CN" w:bidi="zh-CN"/>
      </w:rPr>
    </w:lvl>
    <w:lvl w:ilvl="4" w:tentative="0">
      <w:start w:val="0"/>
      <w:numFmt w:val="bullet"/>
      <w:lvlText w:val="•"/>
      <w:lvlJc w:val="left"/>
      <w:pPr>
        <w:ind w:left="4190" w:hanging="212"/>
      </w:pPr>
      <w:rPr>
        <w:rFonts w:hint="default"/>
        <w:lang w:val="zh-CN" w:eastAsia="zh-CN" w:bidi="zh-CN"/>
      </w:rPr>
    </w:lvl>
    <w:lvl w:ilvl="5" w:tentative="0">
      <w:start w:val="0"/>
      <w:numFmt w:val="bullet"/>
      <w:lvlText w:val="•"/>
      <w:lvlJc w:val="left"/>
      <w:pPr>
        <w:ind w:left="5163" w:hanging="212"/>
      </w:pPr>
      <w:rPr>
        <w:rFonts w:hint="default"/>
        <w:lang w:val="zh-CN" w:eastAsia="zh-CN" w:bidi="zh-CN"/>
      </w:rPr>
    </w:lvl>
    <w:lvl w:ilvl="6" w:tentative="0">
      <w:start w:val="0"/>
      <w:numFmt w:val="bullet"/>
      <w:lvlText w:val="•"/>
      <w:lvlJc w:val="left"/>
      <w:pPr>
        <w:ind w:left="6136" w:hanging="212"/>
      </w:pPr>
      <w:rPr>
        <w:rFonts w:hint="default"/>
        <w:lang w:val="zh-CN" w:eastAsia="zh-CN" w:bidi="zh-CN"/>
      </w:rPr>
    </w:lvl>
    <w:lvl w:ilvl="7" w:tentative="0">
      <w:start w:val="0"/>
      <w:numFmt w:val="bullet"/>
      <w:lvlText w:val="•"/>
      <w:lvlJc w:val="left"/>
      <w:pPr>
        <w:ind w:left="7108" w:hanging="212"/>
      </w:pPr>
      <w:rPr>
        <w:rFonts w:hint="default"/>
        <w:lang w:val="zh-CN" w:eastAsia="zh-CN" w:bidi="zh-CN"/>
      </w:rPr>
    </w:lvl>
    <w:lvl w:ilvl="8" w:tentative="0">
      <w:start w:val="0"/>
      <w:numFmt w:val="bullet"/>
      <w:lvlText w:val="•"/>
      <w:lvlJc w:val="left"/>
      <w:pPr>
        <w:ind w:left="8081" w:hanging="212"/>
      </w:pPr>
      <w:rPr>
        <w:rFonts w:hint="default"/>
        <w:lang w:val="zh-CN" w:eastAsia="zh-CN" w:bidi="zh-CN"/>
      </w:rPr>
    </w:lvl>
  </w:abstractNum>
  <w:abstractNum w:abstractNumId="18">
    <w:nsid w:val="4D94DA66"/>
    <w:multiLevelType w:val="multilevel"/>
    <w:tmpl w:val="4D94DA66"/>
    <w:lvl w:ilvl="0" w:tentative="0">
      <w:start w:val="1"/>
      <w:numFmt w:val="decimal"/>
      <w:lvlText w:val="%1."/>
      <w:lvlJc w:val="left"/>
      <w:pPr>
        <w:ind w:left="868"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76" w:hanging="316"/>
      </w:pPr>
      <w:rPr>
        <w:rFonts w:hint="default"/>
        <w:lang w:val="zh-CN" w:eastAsia="zh-CN" w:bidi="zh-CN"/>
      </w:rPr>
    </w:lvl>
    <w:lvl w:ilvl="2" w:tentative="0">
      <w:start w:val="0"/>
      <w:numFmt w:val="bullet"/>
      <w:lvlText w:val="•"/>
      <w:lvlJc w:val="left"/>
      <w:pPr>
        <w:ind w:left="2693" w:hanging="316"/>
      </w:pPr>
      <w:rPr>
        <w:rFonts w:hint="default"/>
        <w:lang w:val="zh-CN" w:eastAsia="zh-CN" w:bidi="zh-CN"/>
      </w:rPr>
    </w:lvl>
    <w:lvl w:ilvl="3" w:tentative="0">
      <w:start w:val="0"/>
      <w:numFmt w:val="bullet"/>
      <w:lvlText w:val="•"/>
      <w:lvlJc w:val="left"/>
      <w:pPr>
        <w:ind w:left="3610" w:hanging="316"/>
      </w:pPr>
      <w:rPr>
        <w:rFonts w:hint="default"/>
        <w:lang w:val="zh-CN" w:eastAsia="zh-CN" w:bidi="zh-CN"/>
      </w:rPr>
    </w:lvl>
    <w:lvl w:ilvl="4" w:tentative="0">
      <w:start w:val="0"/>
      <w:numFmt w:val="bullet"/>
      <w:lvlText w:val="•"/>
      <w:lvlJc w:val="left"/>
      <w:pPr>
        <w:ind w:left="4526" w:hanging="316"/>
      </w:pPr>
      <w:rPr>
        <w:rFonts w:hint="default"/>
        <w:lang w:val="zh-CN" w:eastAsia="zh-CN" w:bidi="zh-CN"/>
      </w:rPr>
    </w:lvl>
    <w:lvl w:ilvl="5" w:tentative="0">
      <w:start w:val="0"/>
      <w:numFmt w:val="bullet"/>
      <w:lvlText w:val="•"/>
      <w:lvlJc w:val="left"/>
      <w:pPr>
        <w:ind w:left="5443" w:hanging="316"/>
      </w:pPr>
      <w:rPr>
        <w:rFonts w:hint="default"/>
        <w:lang w:val="zh-CN" w:eastAsia="zh-CN" w:bidi="zh-CN"/>
      </w:rPr>
    </w:lvl>
    <w:lvl w:ilvl="6" w:tentative="0">
      <w:start w:val="0"/>
      <w:numFmt w:val="bullet"/>
      <w:lvlText w:val="•"/>
      <w:lvlJc w:val="left"/>
      <w:pPr>
        <w:ind w:left="6360" w:hanging="316"/>
      </w:pPr>
      <w:rPr>
        <w:rFonts w:hint="default"/>
        <w:lang w:val="zh-CN" w:eastAsia="zh-CN" w:bidi="zh-CN"/>
      </w:rPr>
    </w:lvl>
    <w:lvl w:ilvl="7" w:tentative="0">
      <w:start w:val="0"/>
      <w:numFmt w:val="bullet"/>
      <w:lvlText w:val="•"/>
      <w:lvlJc w:val="left"/>
      <w:pPr>
        <w:ind w:left="7276" w:hanging="316"/>
      </w:pPr>
      <w:rPr>
        <w:rFonts w:hint="default"/>
        <w:lang w:val="zh-CN" w:eastAsia="zh-CN" w:bidi="zh-CN"/>
      </w:rPr>
    </w:lvl>
    <w:lvl w:ilvl="8" w:tentative="0">
      <w:start w:val="0"/>
      <w:numFmt w:val="bullet"/>
      <w:lvlText w:val="•"/>
      <w:lvlJc w:val="left"/>
      <w:pPr>
        <w:ind w:left="8193" w:hanging="316"/>
      </w:pPr>
      <w:rPr>
        <w:rFonts w:hint="default"/>
        <w:lang w:val="zh-CN" w:eastAsia="zh-CN" w:bidi="zh-CN"/>
      </w:rPr>
    </w:lvl>
  </w:abstractNum>
  <w:abstractNum w:abstractNumId="19">
    <w:nsid w:val="5E29AB5A"/>
    <w:multiLevelType w:val="multilevel"/>
    <w:tmpl w:val="5E29AB5A"/>
    <w:lvl w:ilvl="0" w:tentative="0">
      <w:start w:val="1"/>
      <w:numFmt w:val="decimal"/>
      <w:lvlText w:val="%1."/>
      <w:lvlJc w:val="left"/>
      <w:pPr>
        <w:ind w:left="132" w:hanging="316"/>
      </w:pPr>
      <w:rPr>
        <w:rFonts w:hint="default" w:ascii="宋体" w:hAnsi="宋体" w:eastAsia="宋体" w:cs="宋体"/>
        <w:spacing w:val="-27"/>
        <w:w w:val="99"/>
        <w:sz w:val="19"/>
        <w:szCs w:val="19"/>
        <w:lang w:val="zh-CN" w:eastAsia="zh-CN" w:bidi="zh-CN"/>
      </w:rPr>
    </w:lvl>
    <w:lvl w:ilvl="1" w:tentative="0">
      <w:start w:val="0"/>
      <w:numFmt w:val="bullet"/>
      <w:lvlText w:val="•"/>
      <w:lvlJc w:val="left"/>
      <w:pPr>
        <w:ind w:left="1128" w:hanging="316"/>
      </w:pPr>
      <w:rPr>
        <w:rFonts w:hint="default"/>
        <w:lang w:val="zh-CN" w:eastAsia="zh-CN" w:bidi="zh-CN"/>
      </w:rPr>
    </w:lvl>
    <w:lvl w:ilvl="2" w:tentative="0">
      <w:start w:val="0"/>
      <w:numFmt w:val="bullet"/>
      <w:lvlText w:val="•"/>
      <w:lvlJc w:val="left"/>
      <w:pPr>
        <w:ind w:left="2117" w:hanging="316"/>
      </w:pPr>
      <w:rPr>
        <w:rFonts w:hint="default"/>
        <w:lang w:val="zh-CN" w:eastAsia="zh-CN" w:bidi="zh-CN"/>
      </w:rPr>
    </w:lvl>
    <w:lvl w:ilvl="3" w:tentative="0">
      <w:start w:val="0"/>
      <w:numFmt w:val="bullet"/>
      <w:lvlText w:val="•"/>
      <w:lvlJc w:val="left"/>
      <w:pPr>
        <w:ind w:left="3106" w:hanging="316"/>
      </w:pPr>
      <w:rPr>
        <w:rFonts w:hint="default"/>
        <w:lang w:val="zh-CN" w:eastAsia="zh-CN" w:bidi="zh-CN"/>
      </w:rPr>
    </w:lvl>
    <w:lvl w:ilvl="4" w:tentative="0">
      <w:start w:val="0"/>
      <w:numFmt w:val="bullet"/>
      <w:lvlText w:val="•"/>
      <w:lvlJc w:val="left"/>
      <w:pPr>
        <w:ind w:left="4094" w:hanging="316"/>
      </w:pPr>
      <w:rPr>
        <w:rFonts w:hint="default"/>
        <w:lang w:val="zh-CN" w:eastAsia="zh-CN" w:bidi="zh-CN"/>
      </w:rPr>
    </w:lvl>
    <w:lvl w:ilvl="5" w:tentative="0">
      <w:start w:val="0"/>
      <w:numFmt w:val="bullet"/>
      <w:lvlText w:val="•"/>
      <w:lvlJc w:val="left"/>
      <w:pPr>
        <w:ind w:left="5083" w:hanging="316"/>
      </w:pPr>
      <w:rPr>
        <w:rFonts w:hint="default"/>
        <w:lang w:val="zh-CN" w:eastAsia="zh-CN" w:bidi="zh-CN"/>
      </w:rPr>
    </w:lvl>
    <w:lvl w:ilvl="6" w:tentative="0">
      <w:start w:val="0"/>
      <w:numFmt w:val="bullet"/>
      <w:lvlText w:val="•"/>
      <w:lvlJc w:val="left"/>
      <w:pPr>
        <w:ind w:left="6072" w:hanging="316"/>
      </w:pPr>
      <w:rPr>
        <w:rFonts w:hint="default"/>
        <w:lang w:val="zh-CN" w:eastAsia="zh-CN" w:bidi="zh-CN"/>
      </w:rPr>
    </w:lvl>
    <w:lvl w:ilvl="7" w:tentative="0">
      <w:start w:val="0"/>
      <w:numFmt w:val="bullet"/>
      <w:lvlText w:val="•"/>
      <w:lvlJc w:val="left"/>
      <w:pPr>
        <w:ind w:left="7060" w:hanging="316"/>
      </w:pPr>
      <w:rPr>
        <w:rFonts w:hint="default"/>
        <w:lang w:val="zh-CN" w:eastAsia="zh-CN" w:bidi="zh-CN"/>
      </w:rPr>
    </w:lvl>
    <w:lvl w:ilvl="8" w:tentative="0">
      <w:start w:val="0"/>
      <w:numFmt w:val="bullet"/>
      <w:lvlText w:val="•"/>
      <w:lvlJc w:val="left"/>
      <w:pPr>
        <w:ind w:left="8049" w:hanging="316"/>
      </w:pPr>
      <w:rPr>
        <w:rFonts w:hint="default"/>
        <w:lang w:val="zh-CN" w:eastAsia="zh-CN" w:bidi="zh-CN"/>
      </w:rPr>
    </w:lvl>
  </w:abstractNum>
  <w:abstractNum w:abstractNumId="20">
    <w:nsid w:val="5FFFB1A7"/>
    <w:multiLevelType w:val="multilevel"/>
    <w:tmpl w:val="5FFFB1A7"/>
    <w:lvl w:ilvl="0" w:tentative="0">
      <w:start w:val="1"/>
      <w:numFmt w:val="decimal"/>
      <w:lvlText w:val="（%1）"/>
      <w:lvlJc w:val="left"/>
      <w:pPr>
        <w:ind w:left="1079" w:hanging="527"/>
      </w:pPr>
      <w:rPr>
        <w:rFonts w:hint="default" w:ascii="宋体" w:hAnsi="宋体" w:eastAsia="宋体" w:cs="宋体"/>
        <w:spacing w:val="-22"/>
        <w:w w:val="99"/>
        <w:sz w:val="19"/>
        <w:szCs w:val="19"/>
        <w:lang w:val="zh-CN" w:eastAsia="zh-CN" w:bidi="zh-CN"/>
      </w:rPr>
    </w:lvl>
    <w:lvl w:ilvl="1" w:tentative="0">
      <w:start w:val="0"/>
      <w:numFmt w:val="bullet"/>
      <w:lvlText w:val="•"/>
      <w:lvlJc w:val="left"/>
      <w:pPr>
        <w:ind w:left="1974" w:hanging="527"/>
      </w:pPr>
      <w:rPr>
        <w:rFonts w:hint="default"/>
        <w:lang w:val="zh-CN" w:eastAsia="zh-CN" w:bidi="zh-CN"/>
      </w:rPr>
    </w:lvl>
    <w:lvl w:ilvl="2" w:tentative="0">
      <w:start w:val="0"/>
      <w:numFmt w:val="bullet"/>
      <w:lvlText w:val="•"/>
      <w:lvlJc w:val="left"/>
      <w:pPr>
        <w:ind w:left="2869" w:hanging="527"/>
      </w:pPr>
      <w:rPr>
        <w:rFonts w:hint="default"/>
        <w:lang w:val="zh-CN" w:eastAsia="zh-CN" w:bidi="zh-CN"/>
      </w:rPr>
    </w:lvl>
    <w:lvl w:ilvl="3" w:tentative="0">
      <w:start w:val="0"/>
      <w:numFmt w:val="bullet"/>
      <w:lvlText w:val="•"/>
      <w:lvlJc w:val="left"/>
      <w:pPr>
        <w:ind w:left="3764" w:hanging="527"/>
      </w:pPr>
      <w:rPr>
        <w:rFonts w:hint="default"/>
        <w:lang w:val="zh-CN" w:eastAsia="zh-CN" w:bidi="zh-CN"/>
      </w:rPr>
    </w:lvl>
    <w:lvl w:ilvl="4" w:tentative="0">
      <w:start w:val="0"/>
      <w:numFmt w:val="bullet"/>
      <w:lvlText w:val="•"/>
      <w:lvlJc w:val="left"/>
      <w:pPr>
        <w:ind w:left="4658" w:hanging="527"/>
      </w:pPr>
      <w:rPr>
        <w:rFonts w:hint="default"/>
        <w:lang w:val="zh-CN" w:eastAsia="zh-CN" w:bidi="zh-CN"/>
      </w:rPr>
    </w:lvl>
    <w:lvl w:ilvl="5" w:tentative="0">
      <w:start w:val="0"/>
      <w:numFmt w:val="bullet"/>
      <w:lvlText w:val="•"/>
      <w:lvlJc w:val="left"/>
      <w:pPr>
        <w:ind w:left="5553" w:hanging="527"/>
      </w:pPr>
      <w:rPr>
        <w:rFonts w:hint="default"/>
        <w:lang w:val="zh-CN" w:eastAsia="zh-CN" w:bidi="zh-CN"/>
      </w:rPr>
    </w:lvl>
    <w:lvl w:ilvl="6" w:tentative="0">
      <w:start w:val="0"/>
      <w:numFmt w:val="bullet"/>
      <w:lvlText w:val="•"/>
      <w:lvlJc w:val="left"/>
      <w:pPr>
        <w:ind w:left="6448" w:hanging="527"/>
      </w:pPr>
      <w:rPr>
        <w:rFonts w:hint="default"/>
        <w:lang w:val="zh-CN" w:eastAsia="zh-CN" w:bidi="zh-CN"/>
      </w:rPr>
    </w:lvl>
    <w:lvl w:ilvl="7" w:tentative="0">
      <w:start w:val="0"/>
      <w:numFmt w:val="bullet"/>
      <w:lvlText w:val="•"/>
      <w:lvlJc w:val="left"/>
      <w:pPr>
        <w:ind w:left="7342" w:hanging="527"/>
      </w:pPr>
      <w:rPr>
        <w:rFonts w:hint="default"/>
        <w:lang w:val="zh-CN" w:eastAsia="zh-CN" w:bidi="zh-CN"/>
      </w:rPr>
    </w:lvl>
    <w:lvl w:ilvl="8" w:tentative="0">
      <w:start w:val="0"/>
      <w:numFmt w:val="bullet"/>
      <w:lvlText w:val="•"/>
      <w:lvlJc w:val="left"/>
      <w:pPr>
        <w:ind w:left="8237" w:hanging="527"/>
      </w:pPr>
      <w:rPr>
        <w:rFonts w:hint="default"/>
        <w:lang w:val="zh-CN" w:eastAsia="zh-CN" w:bidi="zh-CN"/>
      </w:rPr>
    </w:lvl>
  </w:abstractNum>
  <w:abstractNum w:abstractNumId="21">
    <w:nsid w:val="60382F6E"/>
    <w:multiLevelType w:val="multilevel"/>
    <w:tmpl w:val="60382F6E"/>
    <w:lvl w:ilvl="0" w:tentative="0">
      <w:start w:val="1"/>
      <w:numFmt w:val="decimal"/>
      <w:lvlText w:val="%1."/>
      <w:lvlJc w:val="left"/>
      <w:pPr>
        <w:ind w:left="764" w:hanging="212"/>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686" w:hanging="212"/>
      </w:pPr>
      <w:rPr>
        <w:rFonts w:hint="default"/>
        <w:lang w:val="zh-CN" w:eastAsia="zh-CN" w:bidi="zh-CN"/>
      </w:rPr>
    </w:lvl>
    <w:lvl w:ilvl="2" w:tentative="0">
      <w:start w:val="0"/>
      <w:numFmt w:val="bullet"/>
      <w:lvlText w:val="•"/>
      <w:lvlJc w:val="left"/>
      <w:pPr>
        <w:ind w:left="2613" w:hanging="212"/>
      </w:pPr>
      <w:rPr>
        <w:rFonts w:hint="default"/>
        <w:lang w:val="zh-CN" w:eastAsia="zh-CN" w:bidi="zh-CN"/>
      </w:rPr>
    </w:lvl>
    <w:lvl w:ilvl="3" w:tentative="0">
      <w:start w:val="0"/>
      <w:numFmt w:val="bullet"/>
      <w:lvlText w:val="•"/>
      <w:lvlJc w:val="left"/>
      <w:pPr>
        <w:ind w:left="3540" w:hanging="212"/>
      </w:pPr>
      <w:rPr>
        <w:rFonts w:hint="default"/>
        <w:lang w:val="zh-CN" w:eastAsia="zh-CN" w:bidi="zh-CN"/>
      </w:rPr>
    </w:lvl>
    <w:lvl w:ilvl="4" w:tentative="0">
      <w:start w:val="0"/>
      <w:numFmt w:val="bullet"/>
      <w:lvlText w:val="•"/>
      <w:lvlJc w:val="left"/>
      <w:pPr>
        <w:ind w:left="4466" w:hanging="212"/>
      </w:pPr>
      <w:rPr>
        <w:rFonts w:hint="default"/>
        <w:lang w:val="zh-CN" w:eastAsia="zh-CN" w:bidi="zh-CN"/>
      </w:rPr>
    </w:lvl>
    <w:lvl w:ilvl="5" w:tentative="0">
      <w:start w:val="0"/>
      <w:numFmt w:val="bullet"/>
      <w:lvlText w:val="•"/>
      <w:lvlJc w:val="left"/>
      <w:pPr>
        <w:ind w:left="5393" w:hanging="212"/>
      </w:pPr>
      <w:rPr>
        <w:rFonts w:hint="default"/>
        <w:lang w:val="zh-CN" w:eastAsia="zh-CN" w:bidi="zh-CN"/>
      </w:rPr>
    </w:lvl>
    <w:lvl w:ilvl="6" w:tentative="0">
      <w:start w:val="0"/>
      <w:numFmt w:val="bullet"/>
      <w:lvlText w:val="•"/>
      <w:lvlJc w:val="left"/>
      <w:pPr>
        <w:ind w:left="6320" w:hanging="212"/>
      </w:pPr>
      <w:rPr>
        <w:rFonts w:hint="default"/>
        <w:lang w:val="zh-CN" w:eastAsia="zh-CN" w:bidi="zh-CN"/>
      </w:rPr>
    </w:lvl>
    <w:lvl w:ilvl="7" w:tentative="0">
      <w:start w:val="0"/>
      <w:numFmt w:val="bullet"/>
      <w:lvlText w:val="•"/>
      <w:lvlJc w:val="left"/>
      <w:pPr>
        <w:ind w:left="7246" w:hanging="212"/>
      </w:pPr>
      <w:rPr>
        <w:rFonts w:hint="default"/>
        <w:lang w:val="zh-CN" w:eastAsia="zh-CN" w:bidi="zh-CN"/>
      </w:rPr>
    </w:lvl>
    <w:lvl w:ilvl="8" w:tentative="0">
      <w:start w:val="0"/>
      <w:numFmt w:val="bullet"/>
      <w:lvlText w:val="•"/>
      <w:lvlJc w:val="left"/>
      <w:pPr>
        <w:ind w:left="8173" w:hanging="212"/>
      </w:pPr>
      <w:rPr>
        <w:rFonts w:hint="default"/>
        <w:lang w:val="zh-CN" w:eastAsia="zh-CN" w:bidi="zh-CN"/>
      </w:rPr>
    </w:lvl>
  </w:abstractNum>
  <w:abstractNum w:abstractNumId="22">
    <w:nsid w:val="6E35B0DB"/>
    <w:multiLevelType w:val="singleLevel"/>
    <w:tmpl w:val="6E35B0DB"/>
    <w:lvl w:ilvl="0" w:tentative="0">
      <w:start w:val="1"/>
      <w:numFmt w:val="decimal"/>
      <w:suff w:val="nothing"/>
      <w:lvlText w:val="（%1）"/>
      <w:lvlJc w:val="left"/>
    </w:lvl>
  </w:abstractNum>
  <w:abstractNum w:abstractNumId="23">
    <w:nsid w:val="79AA4FA4"/>
    <w:multiLevelType w:val="multilevel"/>
    <w:tmpl w:val="79AA4FA4"/>
    <w:lvl w:ilvl="0" w:tentative="0">
      <w:start w:val="1"/>
      <w:numFmt w:val="decimal"/>
      <w:lvlText w:val="%1."/>
      <w:lvlJc w:val="left"/>
      <w:pPr>
        <w:ind w:left="132" w:hanging="316"/>
      </w:pPr>
      <w:rPr>
        <w:rFonts w:hint="default" w:ascii="宋体" w:hAnsi="宋体" w:eastAsia="宋体" w:cs="宋体"/>
        <w:spacing w:val="-20"/>
        <w:w w:val="99"/>
        <w:sz w:val="19"/>
        <w:szCs w:val="19"/>
        <w:lang w:val="zh-CN" w:eastAsia="zh-CN" w:bidi="zh-CN"/>
      </w:rPr>
    </w:lvl>
    <w:lvl w:ilvl="1" w:tentative="0">
      <w:start w:val="1"/>
      <w:numFmt w:val="decimal"/>
      <w:lvlText w:val="%2."/>
      <w:lvlJc w:val="left"/>
      <w:pPr>
        <w:ind w:left="1038" w:hanging="316"/>
      </w:pPr>
      <w:rPr>
        <w:rFonts w:hint="default" w:ascii="宋体" w:hAnsi="宋体" w:eastAsia="宋体" w:cs="宋体"/>
        <w:spacing w:val="-1"/>
        <w:w w:val="99"/>
        <w:sz w:val="19"/>
        <w:szCs w:val="19"/>
        <w:lang w:val="zh-CN" w:eastAsia="zh-CN" w:bidi="zh-CN"/>
      </w:rPr>
    </w:lvl>
    <w:lvl w:ilvl="2" w:tentative="0">
      <w:start w:val="0"/>
      <w:numFmt w:val="bullet"/>
      <w:lvlText w:val="•"/>
      <w:lvlJc w:val="left"/>
      <w:pPr>
        <w:ind w:left="2038" w:hanging="316"/>
      </w:pPr>
      <w:rPr>
        <w:rFonts w:hint="default"/>
        <w:lang w:val="zh-CN" w:eastAsia="zh-CN" w:bidi="zh-CN"/>
      </w:rPr>
    </w:lvl>
    <w:lvl w:ilvl="3" w:tentative="0">
      <w:start w:val="0"/>
      <w:numFmt w:val="bullet"/>
      <w:lvlText w:val="•"/>
      <w:lvlJc w:val="left"/>
      <w:pPr>
        <w:ind w:left="3037" w:hanging="316"/>
      </w:pPr>
      <w:rPr>
        <w:rFonts w:hint="default"/>
        <w:lang w:val="zh-CN" w:eastAsia="zh-CN" w:bidi="zh-CN"/>
      </w:rPr>
    </w:lvl>
    <w:lvl w:ilvl="4" w:tentative="0">
      <w:start w:val="0"/>
      <w:numFmt w:val="bullet"/>
      <w:lvlText w:val="•"/>
      <w:lvlJc w:val="left"/>
      <w:pPr>
        <w:ind w:left="4035" w:hanging="316"/>
      </w:pPr>
      <w:rPr>
        <w:rFonts w:hint="default"/>
        <w:lang w:val="zh-CN" w:eastAsia="zh-CN" w:bidi="zh-CN"/>
      </w:rPr>
    </w:lvl>
    <w:lvl w:ilvl="5" w:tentative="0">
      <w:start w:val="0"/>
      <w:numFmt w:val="bullet"/>
      <w:lvlText w:val="•"/>
      <w:lvlJc w:val="left"/>
      <w:pPr>
        <w:ind w:left="5034" w:hanging="316"/>
      </w:pPr>
      <w:rPr>
        <w:rFonts w:hint="default"/>
        <w:lang w:val="zh-CN" w:eastAsia="zh-CN" w:bidi="zh-CN"/>
      </w:rPr>
    </w:lvl>
    <w:lvl w:ilvl="6" w:tentative="0">
      <w:start w:val="0"/>
      <w:numFmt w:val="bullet"/>
      <w:lvlText w:val="•"/>
      <w:lvlJc w:val="left"/>
      <w:pPr>
        <w:ind w:left="6032" w:hanging="316"/>
      </w:pPr>
      <w:rPr>
        <w:rFonts w:hint="default"/>
        <w:lang w:val="zh-CN" w:eastAsia="zh-CN" w:bidi="zh-CN"/>
      </w:rPr>
    </w:lvl>
    <w:lvl w:ilvl="7" w:tentative="0">
      <w:start w:val="0"/>
      <w:numFmt w:val="bullet"/>
      <w:lvlText w:val="•"/>
      <w:lvlJc w:val="left"/>
      <w:pPr>
        <w:ind w:left="7031" w:hanging="316"/>
      </w:pPr>
      <w:rPr>
        <w:rFonts w:hint="default"/>
        <w:lang w:val="zh-CN" w:eastAsia="zh-CN" w:bidi="zh-CN"/>
      </w:rPr>
    </w:lvl>
    <w:lvl w:ilvl="8" w:tentative="0">
      <w:start w:val="0"/>
      <w:numFmt w:val="bullet"/>
      <w:lvlText w:val="•"/>
      <w:lvlJc w:val="left"/>
      <w:pPr>
        <w:ind w:left="8029" w:hanging="316"/>
      </w:pPr>
      <w:rPr>
        <w:rFonts w:hint="default"/>
        <w:lang w:val="zh-CN" w:eastAsia="zh-CN" w:bidi="zh-CN"/>
      </w:rPr>
    </w:lvl>
  </w:abstractNum>
  <w:abstractNum w:abstractNumId="24">
    <w:nsid w:val="7C246926"/>
    <w:multiLevelType w:val="multilevel"/>
    <w:tmpl w:val="7C246926"/>
    <w:lvl w:ilvl="0" w:tentative="0">
      <w:start w:val="0"/>
      <w:numFmt w:val="decimal"/>
      <w:lvlText w:val="%1"/>
      <w:lvlJc w:val="left"/>
      <w:pPr>
        <w:ind w:left="396" w:hanging="264"/>
      </w:pPr>
      <w:rPr>
        <w:rFonts w:hint="default"/>
        <w:lang w:val="zh-CN" w:eastAsia="zh-CN" w:bidi="zh-CN"/>
      </w:rPr>
    </w:lvl>
    <w:lvl w:ilvl="1" w:tentative="0">
      <w:start w:val="5"/>
      <w:numFmt w:val="decimal"/>
      <w:lvlText w:val="%1.%2"/>
      <w:lvlJc w:val="left"/>
      <w:pPr>
        <w:ind w:left="396" w:hanging="264"/>
      </w:pPr>
      <w:rPr>
        <w:rFonts w:hint="default" w:ascii="Times New Roman" w:hAnsi="Times New Roman" w:eastAsia="Times New Roman" w:cs="Times New Roman"/>
        <w:spacing w:val="0"/>
        <w:w w:val="99"/>
        <w:sz w:val="19"/>
        <w:szCs w:val="19"/>
        <w:lang w:val="zh-CN" w:eastAsia="zh-CN" w:bidi="zh-CN"/>
      </w:rPr>
    </w:lvl>
    <w:lvl w:ilvl="2" w:tentative="0">
      <w:start w:val="1"/>
      <w:numFmt w:val="decimal"/>
      <w:lvlText w:val="（%3）"/>
      <w:lvlJc w:val="left"/>
      <w:pPr>
        <w:ind w:left="132" w:hanging="527"/>
      </w:pPr>
      <w:rPr>
        <w:rFonts w:hint="default" w:ascii="宋体" w:hAnsi="宋体" w:eastAsia="宋体" w:cs="宋体"/>
        <w:spacing w:val="-22"/>
        <w:w w:val="99"/>
        <w:sz w:val="19"/>
        <w:szCs w:val="19"/>
        <w:lang w:val="zh-CN" w:eastAsia="zh-CN" w:bidi="zh-CN"/>
      </w:rPr>
    </w:lvl>
    <w:lvl w:ilvl="3" w:tentative="0">
      <w:start w:val="0"/>
      <w:numFmt w:val="bullet"/>
      <w:lvlText w:val="•"/>
      <w:lvlJc w:val="left"/>
      <w:pPr>
        <w:ind w:left="2539" w:hanging="527"/>
      </w:pPr>
      <w:rPr>
        <w:rFonts w:hint="default"/>
        <w:lang w:val="zh-CN" w:eastAsia="zh-CN" w:bidi="zh-CN"/>
      </w:rPr>
    </w:lvl>
    <w:lvl w:ilvl="4" w:tentative="0">
      <w:start w:val="0"/>
      <w:numFmt w:val="bullet"/>
      <w:lvlText w:val="•"/>
      <w:lvlJc w:val="left"/>
      <w:pPr>
        <w:ind w:left="3609" w:hanging="527"/>
      </w:pPr>
      <w:rPr>
        <w:rFonts w:hint="default"/>
        <w:lang w:val="zh-CN" w:eastAsia="zh-CN" w:bidi="zh-CN"/>
      </w:rPr>
    </w:lvl>
    <w:lvl w:ilvl="5" w:tentative="0">
      <w:start w:val="0"/>
      <w:numFmt w:val="bullet"/>
      <w:lvlText w:val="•"/>
      <w:lvlJc w:val="left"/>
      <w:pPr>
        <w:ind w:left="4678" w:hanging="527"/>
      </w:pPr>
      <w:rPr>
        <w:rFonts w:hint="default"/>
        <w:lang w:val="zh-CN" w:eastAsia="zh-CN" w:bidi="zh-CN"/>
      </w:rPr>
    </w:lvl>
    <w:lvl w:ilvl="6" w:tentative="0">
      <w:start w:val="0"/>
      <w:numFmt w:val="bullet"/>
      <w:lvlText w:val="•"/>
      <w:lvlJc w:val="left"/>
      <w:pPr>
        <w:ind w:left="5748" w:hanging="527"/>
      </w:pPr>
      <w:rPr>
        <w:rFonts w:hint="default"/>
        <w:lang w:val="zh-CN" w:eastAsia="zh-CN" w:bidi="zh-CN"/>
      </w:rPr>
    </w:lvl>
    <w:lvl w:ilvl="7" w:tentative="0">
      <w:start w:val="0"/>
      <w:numFmt w:val="bullet"/>
      <w:lvlText w:val="•"/>
      <w:lvlJc w:val="left"/>
      <w:pPr>
        <w:ind w:left="6818" w:hanging="527"/>
      </w:pPr>
      <w:rPr>
        <w:rFonts w:hint="default"/>
        <w:lang w:val="zh-CN" w:eastAsia="zh-CN" w:bidi="zh-CN"/>
      </w:rPr>
    </w:lvl>
    <w:lvl w:ilvl="8" w:tentative="0">
      <w:start w:val="0"/>
      <w:numFmt w:val="bullet"/>
      <w:lvlText w:val="•"/>
      <w:lvlJc w:val="left"/>
      <w:pPr>
        <w:ind w:left="7887" w:hanging="527"/>
      </w:pPr>
      <w:rPr>
        <w:rFonts w:hint="default"/>
        <w:lang w:val="zh-CN" w:eastAsia="zh-CN" w:bidi="zh-CN"/>
      </w:rPr>
    </w:lvl>
  </w:abstractNum>
  <w:num w:numId="1">
    <w:abstractNumId w:val="2"/>
  </w:num>
  <w:num w:numId="2">
    <w:abstractNumId w:val="22"/>
  </w:num>
  <w:num w:numId="3">
    <w:abstractNumId w:val="9"/>
  </w:num>
  <w:num w:numId="4">
    <w:abstractNumId w:val="21"/>
  </w:num>
  <w:num w:numId="5">
    <w:abstractNumId w:val="5"/>
  </w:num>
  <w:num w:numId="6">
    <w:abstractNumId w:val="16"/>
  </w:num>
  <w:num w:numId="7">
    <w:abstractNumId w:val="17"/>
  </w:num>
  <w:num w:numId="8">
    <w:abstractNumId w:val="6"/>
  </w:num>
  <w:num w:numId="9">
    <w:abstractNumId w:val="24"/>
  </w:num>
  <w:num w:numId="10">
    <w:abstractNumId w:val="0"/>
  </w:num>
  <w:num w:numId="11">
    <w:abstractNumId w:val="14"/>
  </w:num>
  <w:num w:numId="12">
    <w:abstractNumId w:val="18"/>
  </w:num>
  <w:num w:numId="13">
    <w:abstractNumId w:val="12"/>
  </w:num>
  <w:num w:numId="14">
    <w:abstractNumId w:val="11"/>
  </w:num>
  <w:num w:numId="15">
    <w:abstractNumId w:val="15"/>
  </w:num>
  <w:num w:numId="16">
    <w:abstractNumId w:val="23"/>
  </w:num>
  <w:num w:numId="17">
    <w:abstractNumId w:val="8"/>
  </w:num>
  <w:num w:numId="18">
    <w:abstractNumId w:val="4"/>
  </w:num>
  <w:num w:numId="19">
    <w:abstractNumId w:val="7"/>
  </w:num>
  <w:num w:numId="20">
    <w:abstractNumId w:val="19"/>
  </w:num>
  <w:num w:numId="21">
    <w:abstractNumId w:val="1"/>
  </w:num>
  <w:num w:numId="22">
    <w:abstractNumId w:val="13"/>
  </w:num>
  <w:num w:numId="23">
    <w:abstractNumId w:val="3"/>
  </w:num>
  <w:num w:numId="24">
    <w:abstractNumId w:val="2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02DB2"/>
    <w:rsid w:val="015E4AD6"/>
    <w:rsid w:val="01D152A8"/>
    <w:rsid w:val="01E4322D"/>
    <w:rsid w:val="03F51722"/>
    <w:rsid w:val="04357D70"/>
    <w:rsid w:val="045A3333"/>
    <w:rsid w:val="055E05A8"/>
    <w:rsid w:val="05C46C83"/>
    <w:rsid w:val="05DF5EEE"/>
    <w:rsid w:val="06F86E33"/>
    <w:rsid w:val="076369A2"/>
    <w:rsid w:val="077437A6"/>
    <w:rsid w:val="079A613C"/>
    <w:rsid w:val="097C3D4B"/>
    <w:rsid w:val="0ACA17BF"/>
    <w:rsid w:val="0AFA761E"/>
    <w:rsid w:val="0B6E5916"/>
    <w:rsid w:val="0BFB22A3"/>
    <w:rsid w:val="0C5E1E2E"/>
    <w:rsid w:val="0CB35CD6"/>
    <w:rsid w:val="0D272894"/>
    <w:rsid w:val="0E19425F"/>
    <w:rsid w:val="0E325320"/>
    <w:rsid w:val="0EA77ABC"/>
    <w:rsid w:val="0EE505E5"/>
    <w:rsid w:val="0F267CB0"/>
    <w:rsid w:val="103C2486"/>
    <w:rsid w:val="10C5247C"/>
    <w:rsid w:val="10FD7E68"/>
    <w:rsid w:val="11365128"/>
    <w:rsid w:val="11F50B3F"/>
    <w:rsid w:val="12E806A4"/>
    <w:rsid w:val="14273841"/>
    <w:rsid w:val="145B75D5"/>
    <w:rsid w:val="14667AD2"/>
    <w:rsid w:val="14B55A11"/>
    <w:rsid w:val="14D0319D"/>
    <w:rsid w:val="14F52C04"/>
    <w:rsid w:val="15802E15"/>
    <w:rsid w:val="16DA4390"/>
    <w:rsid w:val="16FC296F"/>
    <w:rsid w:val="17092996"/>
    <w:rsid w:val="176A5B2B"/>
    <w:rsid w:val="18365A0D"/>
    <w:rsid w:val="19420F57"/>
    <w:rsid w:val="19D92AF4"/>
    <w:rsid w:val="19E41BC5"/>
    <w:rsid w:val="1A6C5716"/>
    <w:rsid w:val="1BEF69E6"/>
    <w:rsid w:val="1CA218C3"/>
    <w:rsid w:val="1D0460DA"/>
    <w:rsid w:val="1E227E15"/>
    <w:rsid w:val="1EFA1543"/>
    <w:rsid w:val="1F0203E2"/>
    <w:rsid w:val="1F1B5D72"/>
    <w:rsid w:val="204F20EF"/>
    <w:rsid w:val="20A15EE7"/>
    <w:rsid w:val="20E83C4F"/>
    <w:rsid w:val="216D6944"/>
    <w:rsid w:val="21A77563"/>
    <w:rsid w:val="22487659"/>
    <w:rsid w:val="22636E4D"/>
    <w:rsid w:val="23641680"/>
    <w:rsid w:val="23E32EED"/>
    <w:rsid w:val="24DE5462"/>
    <w:rsid w:val="25C805EC"/>
    <w:rsid w:val="260B392E"/>
    <w:rsid w:val="283A6824"/>
    <w:rsid w:val="28B210E0"/>
    <w:rsid w:val="28D92B11"/>
    <w:rsid w:val="291853E7"/>
    <w:rsid w:val="299A5F1B"/>
    <w:rsid w:val="29A22F02"/>
    <w:rsid w:val="2A6428AE"/>
    <w:rsid w:val="2BE912BD"/>
    <w:rsid w:val="2C3A38C6"/>
    <w:rsid w:val="2C4E7372"/>
    <w:rsid w:val="2E1E3349"/>
    <w:rsid w:val="2EA25753"/>
    <w:rsid w:val="2F642A08"/>
    <w:rsid w:val="2F662C24"/>
    <w:rsid w:val="2FF81ACE"/>
    <w:rsid w:val="308C0468"/>
    <w:rsid w:val="30A47041"/>
    <w:rsid w:val="31CB6D6E"/>
    <w:rsid w:val="31EC5F04"/>
    <w:rsid w:val="338E3538"/>
    <w:rsid w:val="34452E08"/>
    <w:rsid w:val="34735BC7"/>
    <w:rsid w:val="34EE524E"/>
    <w:rsid w:val="35777939"/>
    <w:rsid w:val="362178A5"/>
    <w:rsid w:val="364D2448"/>
    <w:rsid w:val="370A0339"/>
    <w:rsid w:val="37783FC2"/>
    <w:rsid w:val="3902576C"/>
    <w:rsid w:val="39A71E6F"/>
    <w:rsid w:val="3A00614F"/>
    <w:rsid w:val="3A5626EB"/>
    <w:rsid w:val="3A7D77A0"/>
    <w:rsid w:val="3A95616C"/>
    <w:rsid w:val="3B2E0A9A"/>
    <w:rsid w:val="3C7C5835"/>
    <w:rsid w:val="3C882D2E"/>
    <w:rsid w:val="3C9857D5"/>
    <w:rsid w:val="3CB23005"/>
    <w:rsid w:val="3CC55BCF"/>
    <w:rsid w:val="3CC93548"/>
    <w:rsid w:val="3CD20866"/>
    <w:rsid w:val="3E565C0C"/>
    <w:rsid w:val="3F2A1578"/>
    <w:rsid w:val="3F2C3542"/>
    <w:rsid w:val="40835745"/>
    <w:rsid w:val="40DE6ABE"/>
    <w:rsid w:val="4286740D"/>
    <w:rsid w:val="43811983"/>
    <w:rsid w:val="43BE4985"/>
    <w:rsid w:val="44246EDE"/>
    <w:rsid w:val="446948F1"/>
    <w:rsid w:val="44BB75F5"/>
    <w:rsid w:val="450C5668"/>
    <w:rsid w:val="454021A0"/>
    <w:rsid w:val="456714AE"/>
    <w:rsid w:val="45F60406"/>
    <w:rsid w:val="46184820"/>
    <w:rsid w:val="465515D1"/>
    <w:rsid w:val="46965D88"/>
    <w:rsid w:val="46F506BE"/>
    <w:rsid w:val="480906D3"/>
    <w:rsid w:val="492B486B"/>
    <w:rsid w:val="49351245"/>
    <w:rsid w:val="4B4614E8"/>
    <w:rsid w:val="4BEE392E"/>
    <w:rsid w:val="4CA54934"/>
    <w:rsid w:val="4D703947"/>
    <w:rsid w:val="4D706CF0"/>
    <w:rsid w:val="4D9E78F3"/>
    <w:rsid w:val="4E2E7279"/>
    <w:rsid w:val="4E4A7138"/>
    <w:rsid w:val="4E807407"/>
    <w:rsid w:val="4F0040A4"/>
    <w:rsid w:val="4F386687"/>
    <w:rsid w:val="4F50502B"/>
    <w:rsid w:val="4F98252E"/>
    <w:rsid w:val="505A5A36"/>
    <w:rsid w:val="507E1724"/>
    <w:rsid w:val="50A373DC"/>
    <w:rsid w:val="50D1539F"/>
    <w:rsid w:val="51D07D5D"/>
    <w:rsid w:val="5201085F"/>
    <w:rsid w:val="537F5EDF"/>
    <w:rsid w:val="538C5F06"/>
    <w:rsid w:val="547E3308"/>
    <w:rsid w:val="549E599C"/>
    <w:rsid w:val="558077B3"/>
    <w:rsid w:val="59372DB8"/>
    <w:rsid w:val="59FB5B93"/>
    <w:rsid w:val="5A3B68D8"/>
    <w:rsid w:val="5BB26726"/>
    <w:rsid w:val="5BB4249E"/>
    <w:rsid w:val="5BBD57F6"/>
    <w:rsid w:val="5C1271C4"/>
    <w:rsid w:val="5C277114"/>
    <w:rsid w:val="5C653798"/>
    <w:rsid w:val="5CE60816"/>
    <w:rsid w:val="5DB95077"/>
    <w:rsid w:val="5E543AC4"/>
    <w:rsid w:val="5E6D1040"/>
    <w:rsid w:val="5F1F6AEE"/>
    <w:rsid w:val="5F4333A5"/>
    <w:rsid w:val="5FD749AD"/>
    <w:rsid w:val="605E50CE"/>
    <w:rsid w:val="606F2E37"/>
    <w:rsid w:val="608D2A8C"/>
    <w:rsid w:val="613876CD"/>
    <w:rsid w:val="617A7CE6"/>
    <w:rsid w:val="620C2EA8"/>
    <w:rsid w:val="62887B58"/>
    <w:rsid w:val="62DD22DA"/>
    <w:rsid w:val="62FA7D96"/>
    <w:rsid w:val="65ED1589"/>
    <w:rsid w:val="66DC3F6C"/>
    <w:rsid w:val="67E40DD3"/>
    <w:rsid w:val="686B482C"/>
    <w:rsid w:val="693735BE"/>
    <w:rsid w:val="69430488"/>
    <w:rsid w:val="694309C7"/>
    <w:rsid w:val="69821DEB"/>
    <w:rsid w:val="6A9F4709"/>
    <w:rsid w:val="6AD2649C"/>
    <w:rsid w:val="6ADA504D"/>
    <w:rsid w:val="6B1F6995"/>
    <w:rsid w:val="6BCD3C5C"/>
    <w:rsid w:val="6CC14A1B"/>
    <w:rsid w:val="6D442E7A"/>
    <w:rsid w:val="6DFD7CD4"/>
    <w:rsid w:val="6E2F3C06"/>
    <w:rsid w:val="707B5D4B"/>
    <w:rsid w:val="713425B4"/>
    <w:rsid w:val="736305DA"/>
    <w:rsid w:val="74CC2540"/>
    <w:rsid w:val="754E7067"/>
    <w:rsid w:val="76413926"/>
    <w:rsid w:val="7680203D"/>
    <w:rsid w:val="7725204A"/>
    <w:rsid w:val="77467A9B"/>
    <w:rsid w:val="778C1784"/>
    <w:rsid w:val="77900C69"/>
    <w:rsid w:val="78140995"/>
    <w:rsid w:val="783822A8"/>
    <w:rsid w:val="78462278"/>
    <w:rsid w:val="78A43B6E"/>
    <w:rsid w:val="7AEC35AA"/>
    <w:rsid w:val="7B62561B"/>
    <w:rsid w:val="7BAE0860"/>
    <w:rsid w:val="7BEE3352"/>
    <w:rsid w:val="7D711B45"/>
    <w:rsid w:val="7DA939D5"/>
    <w:rsid w:val="7DE247F1"/>
    <w:rsid w:val="7E772FB0"/>
    <w:rsid w:val="7EB50157"/>
    <w:rsid w:val="7FED5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pageBreakBefore/>
      <w:spacing w:after="150" w:afterLines="150"/>
      <w:jc w:val="center"/>
      <w:outlineLvl w:val="0"/>
    </w:pPr>
    <w:rPr>
      <w:rFonts w:asciiTheme="minorAscii" w:hAnsiTheme="minorAscii"/>
      <w:b/>
      <w:bCs/>
      <w:kern w:val="44"/>
      <w:sz w:val="32"/>
      <w:szCs w:val="48"/>
      <w:lang w:bidi="ar"/>
    </w:rPr>
  </w:style>
  <w:style w:type="paragraph" w:styleId="5">
    <w:name w:val="heading 2"/>
    <w:basedOn w:val="1"/>
    <w:next w:val="1"/>
    <w:link w:val="16"/>
    <w:semiHidden/>
    <w:unhideWhenUsed/>
    <w:qFormat/>
    <w:uiPriority w:val="0"/>
    <w:pPr>
      <w:spacing w:before="0" w:beforeAutospacing="0" w:after="150" w:afterLines="150" w:afterAutospacing="0" w:line="360" w:lineRule="auto"/>
      <w:ind w:firstLine="0" w:firstLineChars="0"/>
      <w:jc w:val="center"/>
      <w:outlineLvl w:val="1"/>
    </w:pPr>
    <w:rPr>
      <w:rFonts w:cs="宋体" w:asciiTheme="minorAscii" w:hAnsiTheme="minorAscii"/>
      <w:b/>
      <w:bCs/>
      <w:kern w:val="0"/>
      <w:sz w:val="30"/>
      <w:szCs w:val="36"/>
      <w:lang w:bidi="ar"/>
    </w:rPr>
  </w:style>
  <w:style w:type="paragraph" w:styleId="6">
    <w:name w:val="heading 3"/>
    <w:basedOn w:val="1"/>
    <w:next w:val="1"/>
    <w:qFormat/>
    <w:uiPriority w:val="99"/>
    <w:pPr>
      <w:autoSpaceDE w:val="0"/>
      <w:autoSpaceDN w:val="0"/>
      <w:adjustRightInd w:val="0"/>
      <w:spacing w:before="16"/>
      <w:jc w:val="left"/>
      <w:outlineLvl w:val="2"/>
    </w:pPr>
    <w:rPr>
      <w:rFonts w:ascii="仿宋_GB2312" w:eastAsia="仿宋_GB2312"/>
      <w:b/>
      <w:kern w:val="0"/>
      <w:sz w:val="24"/>
      <w:szCs w:val="28"/>
    </w:rPr>
  </w:style>
  <w:style w:type="paragraph" w:styleId="7">
    <w:name w:val="heading 4"/>
    <w:basedOn w:val="1"/>
    <w:next w:val="1"/>
    <w:qFormat/>
    <w:uiPriority w:val="99"/>
    <w:pPr>
      <w:keepNext/>
      <w:keepLines/>
      <w:spacing w:before="280" w:after="290" w:line="376" w:lineRule="auto"/>
      <w:outlineLvl w:val="3"/>
    </w:pPr>
    <w:rPr>
      <w:rFonts w:ascii="等线 Light" w:hAnsi="等线 Light" w:eastAsia="等线 Light"/>
      <w:b/>
      <w:bCs/>
      <w:sz w:val="28"/>
      <w:szCs w:val="28"/>
    </w:rPr>
  </w:style>
  <w:style w:type="paragraph" w:styleId="8">
    <w:name w:val="heading 7"/>
    <w:basedOn w:val="1"/>
    <w:next w:val="1"/>
    <w:qFormat/>
    <w:uiPriority w:val="1"/>
    <w:pPr>
      <w:ind w:left="883"/>
      <w:outlineLvl w:val="6"/>
    </w:pPr>
    <w:rPr>
      <w:rFonts w:ascii="宋体" w:hAnsi="宋体" w:eastAsia="宋体" w:cs="宋体"/>
      <w:b/>
      <w:bCs/>
      <w:sz w:val="24"/>
      <w:szCs w:val="24"/>
      <w:lang w:val="zh-CN" w:eastAsia="zh-CN" w:bidi="zh-CN"/>
    </w:rPr>
  </w:style>
  <w:style w:type="paragraph" w:styleId="9">
    <w:name w:val="heading 8"/>
    <w:basedOn w:val="1"/>
    <w:next w:val="1"/>
    <w:qFormat/>
    <w:uiPriority w:val="1"/>
    <w:pPr>
      <w:ind w:left="823"/>
      <w:outlineLvl w:val="7"/>
    </w:pPr>
    <w:rPr>
      <w:rFonts w:ascii="宋体" w:hAnsi="宋体" w:eastAsia="宋体" w:cs="宋体"/>
      <w:b/>
      <w:bCs/>
      <w:sz w:val="21"/>
      <w:szCs w:val="21"/>
      <w:lang w:val="zh-CN" w:eastAsia="zh-CN" w:bidi="zh-CN"/>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rPr>
      <w:sz w:val="26"/>
    </w:rPr>
  </w:style>
  <w:style w:type="paragraph" w:styleId="3">
    <w:name w:val="toc 2"/>
    <w:basedOn w:val="1"/>
    <w:next w:val="1"/>
    <w:qFormat/>
    <w:uiPriority w:val="39"/>
    <w:pPr>
      <w:tabs>
        <w:tab w:val="right" w:leader="dot" w:pos="8609"/>
      </w:tabs>
      <w:spacing w:line="240" w:lineRule="atLeast"/>
      <w:ind w:left="210"/>
      <w:jc w:val="distribute"/>
    </w:pPr>
    <w:rPr>
      <w:rFonts w:ascii="宋体" w:hAnsi="宋体" w:eastAsia="宋体"/>
      <w:b/>
      <w:smallCaps/>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toc 1"/>
    <w:basedOn w:val="1"/>
    <w:next w:val="1"/>
    <w:qFormat/>
    <w:uiPriority w:val="39"/>
    <w:pPr>
      <w:spacing w:before="120" w:after="120"/>
      <w:jc w:val="left"/>
    </w:pPr>
    <w:rPr>
      <w:rFonts w:ascii="Calibri" w:hAnsi="Calibri" w:eastAsia="仿宋_GB2312"/>
      <w:b/>
      <w:bCs/>
      <w:caps/>
      <w:kern w:val="0"/>
      <w:sz w:val="28"/>
      <w:szCs w:val="20"/>
    </w:rPr>
  </w:style>
  <w:style w:type="paragraph" w:styleId="12">
    <w:name w:val="Normal (Web)"/>
    <w:basedOn w:val="1"/>
    <w:unhideWhenUsed/>
    <w:qFormat/>
    <w:uiPriority w:val="99"/>
    <w:rPr>
      <w:sz w:val="24"/>
    </w:rPr>
  </w:style>
  <w:style w:type="paragraph" w:styleId="13">
    <w:name w:val="Title"/>
    <w:basedOn w:val="1"/>
    <w:next w:val="1"/>
    <w:link w:val="20"/>
    <w:qFormat/>
    <w:uiPriority w:val="0"/>
    <w:pPr>
      <w:spacing w:before="240" w:after="60"/>
      <w:jc w:val="center"/>
      <w:outlineLvl w:val="0"/>
    </w:pPr>
    <w:rPr>
      <w:rFonts w:ascii="等线 Light" w:hAnsi="等线 Light"/>
      <w:b/>
      <w:bCs/>
      <w:sz w:val="32"/>
      <w:szCs w:val="32"/>
    </w:rPr>
  </w:style>
  <w:style w:type="character" w:customStyle="1" w:styleId="16">
    <w:name w:val="标题 2 Char"/>
    <w:link w:val="5"/>
    <w:qFormat/>
    <w:uiPriority w:val="0"/>
    <w:rPr>
      <w:rFonts w:hint="default" w:cs="宋体" w:asciiTheme="minorAscii" w:hAnsiTheme="minorAscii" w:eastAsiaTheme="minorEastAsia"/>
      <w:b/>
      <w:bCs/>
      <w:kern w:val="0"/>
      <w:sz w:val="30"/>
      <w:szCs w:val="36"/>
      <w:lang w:bidi="ar"/>
    </w:rPr>
  </w:style>
  <w:style w:type="paragraph" w:customStyle="1" w:styleId="17">
    <w:name w:val="Table Paragraph"/>
    <w:basedOn w:val="1"/>
    <w:qFormat/>
    <w:uiPriority w:val="1"/>
    <w:rPr>
      <w:rFonts w:ascii="宋体" w:hAnsi="宋体" w:eastAsia="宋体" w:cs="宋体"/>
      <w:lang w:val="zh-CN" w:eastAsia="zh-CN" w:bidi="zh-CN"/>
    </w:rPr>
  </w:style>
  <w:style w:type="paragraph" w:styleId="18">
    <w:name w:val="List Paragraph"/>
    <w:basedOn w:val="1"/>
    <w:qFormat/>
    <w:uiPriority w:val="1"/>
    <w:pPr>
      <w:ind w:left="212" w:hanging="486"/>
    </w:pPr>
    <w:rPr>
      <w:rFonts w:ascii="宋体" w:hAnsi="宋体" w:eastAsia="宋体" w:cs="宋体"/>
      <w:lang w:val="zh-CN" w:eastAsia="zh-CN" w:bidi="zh-CN"/>
    </w:rPr>
  </w:style>
  <w:style w:type="paragraph" w:customStyle="1" w:styleId="19">
    <w:name w:val="目录 53"/>
    <w:next w:val="1"/>
    <w:qFormat/>
    <w:uiPriority w:val="0"/>
    <w:pPr>
      <w:wordWrap w:val="0"/>
      <w:ind w:left="1275"/>
      <w:jc w:val="both"/>
    </w:pPr>
    <w:rPr>
      <w:rFonts w:ascii="Calibri" w:hAnsi="Calibri" w:eastAsia="宋体" w:cs="Times New Roman"/>
      <w:sz w:val="21"/>
      <w:lang w:val="en-US" w:eastAsia="zh-CN" w:bidi="ar-SA"/>
    </w:rPr>
  </w:style>
  <w:style w:type="character" w:customStyle="1" w:styleId="20">
    <w:name w:val="标题 Char"/>
    <w:link w:val="13"/>
    <w:qFormat/>
    <w:uiPriority w:val="0"/>
    <w:rPr>
      <w:rFonts w:ascii="等线 Light" w:hAnsi="等线 Light"/>
      <w:b/>
      <w:bCs/>
      <w:sz w:val="32"/>
      <w:szCs w:val="32"/>
    </w:rPr>
  </w:style>
  <w:style w:type="character" w:customStyle="1" w:styleId="21">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19504</Words>
  <Characters>20368</Characters>
  <Lines>0</Lines>
  <Paragraphs>0</Paragraphs>
  <TotalTime>3</TotalTime>
  <ScaleCrop>false</ScaleCrop>
  <LinksUpToDate>false</LinksUpToDate>
  <CharactersWithSpaces>22511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2024-11-06T06:46:00Z</dcterms:created>
  <dc:creator>86178</dc:creator>
  <cp:lastModifiedBy>从心来过</cp:lastModifiedBy>
  <cp:lastPrinted>2025-07-27T05:09:00Z</cp:lastPrinted>
  <dcterms:modified xsi:type="dcterms:W3CDTF">2025-09-17T13:49:51Z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F9056EB1FA75420D91369213F3D44A11_12</vt:lpwstr>
  </property>
  <property fmtid="{D5CDD505-2E9C-101B-9397-08002B2CF9AE}" pid="4" name="KSOTemplateDocerSaveRecord">
    <vt:lpwstr>eyJoZGlkIjoiZDdiMDE5ODFjYjBmMWI0YTQwMzJiYjc5YWMxYzI0NjAiLCJ1c2VySWQiOiI5NjAwMzMzNDcifQ==</vt:lpwstr>
  </property>
</Properties>
</file>