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9071F">
      <w:pPr>
        <w:keepNext w:val="0"/>
        <w:keepLines w:val="0"/>
        <w:pageBreakBefore w:val="0"/>
        <w:widowControl w:val="0"/>
        <w:kinsoku/>
        <w:wordWrap/>
        <w:overflowPunct/>
        <w:topLinePunct w:val="0"/>
        <w:autoSpaceDE/>
        <w:autoSpaceDN/>
        <w:bidi w:val="0"/>
        <w:adjustRightInd/>
        <w:snapToGrid/>
        <w:spacing w:line="960" w:lineRule="exact"/>
        <w:jc w:val="center"/>
        <w:textAlignment w:val="auto"/>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pacing w:val="0"/>
          <w:w w:val="97"/>
          <w:kern w:val="0"/>
          <w:sz w:val="44"/>
          <w:szCs w:val="44"/>
          <w:fitText w:val="9071" w:id="867317007"/>
        </w:rPr>
        <w:t>2026年蚩尤九黎城中秋·国庆双节「九黎月市</w:t>
      </w:r>
      <w:r>
        <w:rPr>
          <w:rFonts w:hint="eastAsia" w:asciiTheme="minorEastAsia" w:hAnsiTheme="minorEastAsia" w:eastAsiaTheme="minorEastAsia" w:cstheme="minorEastAsia"/>
          <w:b/>
          <w:bCs/>
          <w:spacing w:val="-71"/>
          <w:w w:val="97"/>
          <w:kern w:val="0"/>
          <w:sz w:val="44"/>
          <w:szCs w:val="44"/>
          <w:fitText w:val="9071" w:id="867317007"/>
        </w:rPr>
        <w:t>」</w:t>
      </w:r>
      <w:r>
        <w:rPr>
          <w:rFonts w:hint="eastAsia" w:asciiTheme="minorEastAsia" w:hAnsiTheme="minorEastAsia" w:eastAsiaTheme="minorEastAsia" w:cstheme="minorEastAsia"/>
          <w:b/>
          <w:bCs/>
          <w:sz w:val="44"/>
          <w:szCs w:val="44"/>
        </w:rPr>
        <w:t>集市招商合作方案</w:t>
      </w:r>
    </w:p>
    <w:p w14:paraId="7907247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0" w:name="heading_0"/>
    </w:p>
    <w:p w14:paraId="43EED80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一、方案总则</w:t>
      </w:r>
      <w:bookmarkEnd w:id="0"/>
    </w:p>
    <w:p w14:paraId="4E9ED98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1" w:name="heading_1"/>
      <w:r>
        <w:rPr>
          <w:rFonts w:hint="eastAsia" w:asciiTheme="minorEastAsia" w:hAnsiTheme="minorEastAsia" w:eastAsiaTheme="minorEastAsia" w:cstheme="minorEastAsia"/>
        </w:rPr>
        <w:t>（一）活动背景</w:t>
      </w:r>
      <w:bookmarkEnd w:id="1"/>
    </w:p>
    <w:p w14:paraId="5E74513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2026年中秋、国庆双节首尾相连、叠加赋能，形成全年顶级的旅游消费、夜间经济与亲子休闲黄金窗口期，周边短途游、景区深度游、夜间沉浸式体验游需求集中爆发。蚩尤九黎城作为国家级苗族文化主题景区，坐拥九道门、九黎宫、九黎神柱等多项世界级文旅地标，常态化上演《山海九黎》精品实景演艺，苗族文化底蕴深厚、夜游场景禀赋突出。双节期间景区客流将迎来爆发式增长，年轻消费客群、亲子休闲客群、家庭短途客群占比大幅提升，消费潜力巨大。</w:t>
      </w:r>
    </w:p>
    <w:p w14:paraId="678D8DF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目前景区文旅业态存在明显短板，特色餐饮业态单一、夜间消费场景匮乏、本土文化体验性不足，导致游客停留时长偏短、二次消费转化率较低，未能充分释放景区客流商业价值。为补齐景区「观景、游玩、品鉴、休闲」一体化体验短板，激活夜间经济消费活力，打造「苗族文化+烟火市井+潮流网红」沉浸式特色夜市IP，本次专项打造「九黎月市」双节主题集市，通过标准化、精品化、特色化运营，丰富景区商业业态、浓厚夜游氛围、拉长游客停留时长、提升综合消费额度，现面向社会采用公开招商遴选模式开展专项招商合作。</w:t>
      </w:r>
    </w:p>
    <w:p w14:paraId="66D1F60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2" w:name="heading_2"/>
      <w:r>
        <w:rPr>
          <w:rFonts w:hint="eastAsia" w:asciiTheme="minorEastAsia" w:hAnsiTheme="minorEastAsia" w:eastAsiaTheme="minorEastAsia" w:cstheme="minorEastAsia"/>
        </w:rPr>
        <w:t>（二）招商目的</w:t>
      </w:r>
      <w:bookmarkEnd w:id="2"/>
    </w:p>
    <w:p w14:paraId="0AE8D43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业态升级，打造特色IP：创新落地一摊两品核心运营模式，以「渝味360碗彭水本土非遗特色美食」为文化核心，以「市场网红潮流热销品」为流量支撑，彻底填补景区特色餐饮、夜间休闲消费缺口，构建差异化苗乡夜市标签，打造渝东南文旅夜游集市标杆。</w:t>
      </w:r>
    </w:p>
    <w:p w14:paraId="236D010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市场共赢，盘活国资价值：采用无固定保底、纯真实营业额分成、全域统一收银的市场化合作模式，完全贴合文旅集市经营规律，规避固定保底模式带来的经营压力与弃标风险，实现甲乙双方风险共担、收益共享，保障国有资产稳健保值增值。</w:t>
      </w:r>
    </w:p>
    <w:p w14:paraId="7AD876D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规范运营，提升服务品质：通过综合评分择优遴选优质专业运营服务商，统一食品安全、消防安全、经营秩序、服务标准、业态管控五大管理体系，整治同质化经营、违规占道、无序经营等问题，全面提升景区商业服务品质与文旅口碑。</w:t>
      </w:r>
    </w:p>
    <w:p w14:paraId="70B5E79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以商兴景，强化品牌赋能：依托双节节点，结合苗族非遗展演、沉浸式场景营造、主题文化活动，实现「景区引流、集市留客、文化赋能、品牌出圈」的良性循环，打造可复制、可传播、可落地的九黎文旅商业标杆案例。</w:t>
      </w:r>
    </w:p>
    <w:p w14:paraId="4912456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3" w:name="heading_3"/>
      <w:r>
        <w:rPr>
          <w:rFonts w:hint="eastAsia" w:asciiTheme="minorEastAsia" w:hAnsiTheme="minorEastAsia" w:eastAsiaTheme="minorEastAsia" w:cstheme="minorEastAsia"/>
        </w:rPr>
        <w:t>（三）招商合规前置说明</w:t>
      </w:r>
      <w:bookmarkEnd w:id="3"/>
    </w:p>
    <w:p w14:paraId="7EB7AB1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本项目为国有景区场地经营性租赁项目，已完成内部集体审议、可行性论证、风控合规评估，全套手续完备合规。为严格落实国有资产公开、公平、公正招商管理要求，保障招商工作透明合规、择优遴选优质运营服务商，本项目采用面向社会公开招商、自愿报名、资格预审、综合评审遴选模式开展招商工作。</w:t>
      </w:r>
    </w:p>
    <w:p w14:paraId="67D5DFF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本次招商全程严格遵循公平、公正、公开原则，建立完整的评审台账、资料归档、结果公示、全程留痕备查机制，全程接受公司</w:t>
      </w:r>
      <w:r>
        <w:rPr>
          <w:rFonts w:hint="eastAsia" w:asciiTheme="minorEastAsia" w:hAnsiTheme="minorEastAsia" w:eastAsiaTheme="minorEastAsia" w:cstheme="minorEastAsia"/>
          <w:lang w:val="en-US" w:eastAsia="zh-CN"/>
        </w:rPr>
        <w:t>纪委</w:t>
      </w:r>
      <w:r>
        <w:rPr>
          <w:rFonts w:hint="eastAsia" w:asciiTheme="minorEastAsia" w:hAnsiTheme="minorEastAsia" w:eastAsiaTheme="minorEastAsia" w:cstheme="minorEastAsia"/>
        </w:rPr>
        <w:t>、财务部门、商业管理部联合监督，所有流程合规透明、可追溯、可核查。</w:t>
      </w:r>
    </w:p>
    <w:p w14:paraId="5CC1B74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本次评审摒弃传统「唯高价定标」模式，实行市场化综合评分机制，营业额分成报价仅占总分50%权重，同步考核运营方案、业态落地能力、安全管理体系、企业过往业绩等核心指标，有效杜绝「高价低能、中标亏损、运营拉垮、违约弃标」等问题，兼顾国资收益与项目长效稳健运营，面向所有合规报名企业公平评审。</w:t>
      </w:r>
    </w:p>
    <w:p w14:paraId="0267413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本项目无固定保底收益要求，甲方全部收益依托乙方真实经营流水核算，完全适配文旅集市淡旺季波动、客流不确定性的市场化特征，最大限度贴合实际经营场景，保障甲乙双方风险可控、收益合理。</w:t>
      </w:r>
    </w:p>
    <w:p w14:paraId="33D55A1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4" w:name="heading_4"/>
      <w:r>
        <w:rPr>
          <w:rFonts w:hint="eastAsia" w:asciiTheme="minorEastAsia" w:hAnsiTheme="minorEastAsia" w:eastAsiaTheme="minorEastAsia" w:cstheme="minorEastAsia"/>
          <w:b/>
          <w:bCs/>
        </w:rPr>
        <w:t>二、活动基本信息</w:t>
      </w:r>
      <w:bookmarkEnd w:id="4"/>
    </w:p>
    <w:p w14:paraId="777BC99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集市IP名称：九黎月市</w:t>
      </w:r>
    </w:p>
    <w:p w14:paraId="363B1A3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主题口号：月满九黎 · 苗韵双节</w:t>
      </w:r>
    </w:p>
    <w:p w14:paraId="3FD305C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主办单位：彭水县摩围山旅游开发有限公司</w:t>
      </w:r>
    </w:p>
    <w:p w14:paraId="47A1C2E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运营地点：蚩尤九黎城景区接待中心广场（专属美食小吃经营区）</w:t>
      </w:r>
    </w:p>
    <w:p w14:paraId="53A475D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合作/运营周期：2026年9月25日—10月7日，共计13天，全覆盖中秋、国庆双节黄金消费周期</w:t>
      </w:r>
    </w:p>
    <w:p w14:paraId="54491E3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运营时间：全天常态化经营，核心黄金经营时段17:00-22:30（夜游主力消费时段）；甲方可根据客流峰值变化、节假日调度、极端天气、重大活动等情况，与乙方协商临时调整营业时间。</w:t>
      </w:r>
    </w:p>
    <w:p w14:paraId="6A0969F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业态定位：纯便民餐饮沉浸式消费场景，严禁布局</w:t>
      </w:r>
      <w:r>
        <w:rPr>
          <w:rFonts w:hint="eastAsia" w:asciiTheme="minorEastAsia" w:hAnsiTheme="minorEastAsia" w:eastAsiaTheme="minorEastAsia" w:cstheme="minorEastAsia"/>
          <w:lang w:val="en-US" w:eastAsia="zh-CN"/>
        </w:rPr>
        <w:t>特种</w:t>
      </w:r>
      <w:r>
        <w:rPr>
          <w:rFonts w:hint="eastAsia" w:asciiTheme="minorEastAsia" w:hAnsiTheme="minorEastAsia" w:eastAsiaTheme="minorEastAsia" w:cstheme="minorEastAsia"/>
        </w:rPr>
        <w:t>游乐设备，聚焦「彭水苗乡非遗特色美食+网红潮流休闲小吃」双核心业态，打造轻量化、精品化、特色化夜游消费集市。</w:t>
      </w:r>
    </w:p>
    <w:p w14:paraId="79DA6FC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5" w:name="heading_5"/>
      <w:r>
        <w:rPr>
          <w:rFonts w:hint="eastAsia" w:asciiTheme="minorEastAsia" w:hAnsiTheme="minorEastAsia" w:eastAsiaTheme="minorEastAsia" w:cstheme="minorEastAsia"/>
          <w:b/>
          <w:bCs/>
        </w:rPr>
        <w:t>三、核心业态规划与严控标准（一摊两品专项落地）</w:t>
      </w:r>
      <w:bookmarkEnd w:id="5"/>
    </w:p>
    <w:p w14:paraId="3204F17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6" w:name="heading_6"/>
      <w:r>
        <w:rPr>
          <w:rFonts w:hint="eastAsia" w:asciiTheme="minorEastAsia" w:hAnsiTheme="minorEastAsia" w:eastAsiaTheme="minorEastAsia" w:cstheme="minorEastAsia"/>
        </w:rPr>
        <w:t>（一）核心业态管控原则</w:t>
      </w:r>
      <w:bookmarkEnd w:id="6"/>
    </w:p>
    <w:p w14:paraId="28EE13E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集市实行100%一摊两品硬性管控机制，所有入驻经营摊位必须同步配置「渝味360碗彭水本土特色品类+当下市场网红热销品类」，兼顾文化稀缺性、市场流量性、游客适配性三大核心属性，坚决杜绝单一品类经营、同质化内卷、无本土文化属性、纯网红低端化四大问题。所有经营品类需提前报审备案，严格执行经营范围管控，严禁超品类、跨品类经营。</w:t>
      </w:r>
    </w:p>
    <w:p w14:paraId="342AD11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绝对禁营品类：各类</w:t>
      </w:r>
      <w:r>
        <w:rPr>
          <w:rFonts w:hint="eastAsia" w:asciiTheme="minorEastAsia" w:hAnsiTheme="minorEastAsia" w:eastAsiaTheme="minorEastAsia" w:cstheme="minorEastAsia"/>
          <w:lang w:val="en-US" w:eastAsia="zh-CN"/>
        </w:rPr>
        <w:t>特种</w:t>
      </w:r>
      <w:r>
        <w:rPr>
          <w:rFonts w:hint="eastAsia" w:asciiTheme="minorEastAsia" w:hAnsiTheme="minorEastAsia" w:eastAsiaTheme="minorEastAsia" w:cstheme="minorEastAsia"/>
        </w:rPr>
        <w:t>游乐设备、易燃易爆经营品类、三无食品、过期变质食品、违规明火高风险经营项目。</w:t>
      </w:r>
    </w:p>
    <w:p w14:paraId="7EC6728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7" w:name="heading_7"/>
      <w:r>
        <w:rPr>
          <w:rFonts w:hint="eastAsia" w:asciiTheme="minorEastAsia" w:hAnsiTheme="minorEastAsia" w:eastAsiaTheme="minorEastAsia" w:cstheme="minorEastAsia"/>
        </w:rPr>
        <w:t>（二）双品细分官方审定清单</w:t>
      </w:r>
      <w:bookmarkEnd w:id="7"/>
    </w:p>
    <w:p w14:paraId="266F8D2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8" w:name="heading_8"/>
      <w:r>
        <w:rPr>
          <w:rFonts w:hint="eastAsia" w:asciiTheme="minorEastAsia" w:hAnsiTheme="minorEastAsia" w:eastAsiaTheme="minorEastAsia" w:cstheme="minorEastAsia"/>
        </w:rPr>
        <w:t>1. 本土特色品（渝味360碗彭水专属品类，每摊必配、硬性要求）</w:t>
      </w:r>
      <w:bookmarkEnd w:id="8"/>
    </w:p>
    <w:p w14:paraId="4615AF6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甄选入选重庆「渝味360碗」官方名录的彭水本土非遗、百年风味特色美食，筑牢集市苗族文化核心底色，实现「一摊一非遗、一味一故事」的文化赋能效果，核心品类包含：郁山三香、彭水鸡豆花、都卷子、郁山擀酥饼、涪翁烧白、太子豆花、苗乡心肺米粉、摩围山珍、晶丝山凤汤、苗乡口口脆、灰豆腐炖牛腩、荞锅烙、鼎罐饭、斑鸠豆腐等正统彭水特色美食。</w:t>
      </w:r>
    </w:p>
    <w:p w14:paraId="3BEB53B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9" w:name="heading_9"/>
      <w:r>
        <w:rPr>
          <w:rFonts w:hint="eastAsia" w:asciiTheme="minorEastAsia" w:hAnsiTheme="minorEastAsia" w:eastAsiaTheme="minorEastAsia" w:cstheme="minorEastAsia"/>
        </w:rPr>
        <w:t>2. 市场热销品（网红潮流品类，适配双节客流）</w:t>
      </w:r>
      <w:bookmarkEnd w:id="9"/>
    </w:p>
    <w:p w14:paraId="543B989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贴合年轻游客、亲子家庭游客消费偏好，精选低风险、高流量、易落地、适配夜游场景的潮流品类，丰富消费层次、提升客流转化率，核心品类包含：夏季清凉饮品、手工古法糖水、特色网红烤串、轻食简餐、手工糍粑、创意甜品、鲜果切、新式茶饮等休闲网红小吃饮品。</w:t>
      </w:r>
    </w:p>
    <w:p w14:paraId="4DA9908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10" w:name="heading_10"/>
      <w:r>
        <w:rPr>
          <w:rFonts w:hint="eastAsia" w:asciiTheme="minorEastAsia" w:hAnsiTheme="minorEastAsia" w:eastAsiaTheme="minorEastAsia" w:cstheme="minorEastAsia"/>
        </w:rPr>
        <w:t>（三）业态配比与布局管控标准</w:t>
      </w:r>
      <w:bookmarkEnd w:id="10"/>
    </w:p>
    <w:p w14:paraId="5D415BE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品类配比硬性要求：单摊位本土特色品类经营占比不低于50%，网红潮流品类占比不高于50%，严禁弱化本土文化属性、纯网红化、同质化经营。</w:t>
      </w:r>
    </w:p>
    <w:p w14:paraId="17032D1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错位布局管控：甲方联合乙方开展严格的品类准入审核，同类本土特色品类限量入驻、错峰布局、分区排布，从源头杜绝同质化低价竞争，保障所有摊位合理盈利空间，形成互补共生、良性循环的业态生态。</w:t>
      </w:r>
    </w:p>
    <w:p w14:paraId="1AF8218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文化赋值标准：所有本土特色美食配套专属文化故事牌、苗汉双语标识，鼓励商户开展现场手工制作、民俗互动体验，让游客实现「品尝特色美食、感受苗乡民俗、了解本土文化」的沉浸式消费体验。</w:t>
      </w:r>
    </w:p>
    <w:p w14:paraId="53E78C6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11" w:name="heading_11"/>
      <w:r>
        <w:rPr>
          <w:rFonts w:hint="eastAsia" w:asciiTheme="minorEastAsia" w:hAnsiTheme="minorEastAsia" w:eastAsiaTheme="minorEastAsia" w:cstheme="minorEastAsia"/>
          <w:b/>
          <w:bCs/>
        </w:rPr>
        <w:t>四、双节主题整体运营策划</w:t>
      </w:r>
      <w:bookmarkEnd w:id="11"/>
    </w:p>
    <w:p w14:paraId="1381CCC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12" w:name="heading_12"/>
      <w:r>
        <w:rPr>
          <w:rFonts w:hint="eastAsia" w:asciiTheme="minorEastAsia" w:hAnsiTheme="minorEastAsia" w:eastAsiaTheme="minorEastAsia" w:cstheme="minorEastAsia"/>
        </w:rPr>
        <w:t>（一）双节分篇章主题运营体系</w:t>
      </w:r>
      <w:bookmarkEnd w:id="12"/>
    </w:p>
    <w:p w14:paraId="4361B43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中秋篇（9月25日-9月30日）——蚩尤祭月 · 九黎团圆：深度挖掘苗族传统祭月、跳月、团圆祈福民俗，中秋双语灯谜互动等场景，主打团圆、祈福、温情氛围，精准匹配中秋家庭出游、亲友团聚客群需求。</w:t>
      </w:r>
    </w:p>
    <w:p w14:paraId="243D562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国庆篇（10月1日-10月7日）——盛世苗寨 · 锦绣中华：紧扣国庆家国情怀主题，聚焦苗寨狂欢巡游、民俗互动体验，依托国庆超大客流，打造沉浸式苗乡狂欢场景，最大化激活集市消费潜力。</w:t>
      </w:r>
    </w:p>
    <w:p w14:paraId="5E16172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13" w:name="heading_13"/>
      <w:r>
        <w:rPr>
          <w:rFonts w:hint="eastAsia" w:asciiTheme="minorEastAsia" w:hAnsiTheme="minorEastAsia" w:eastAsiaTheme="minorEastAsia" w:cstheme="minorEastAsia"/>
        </w:rPr>
        <w:t>（二）核心开市仪式与常态化非遗演艺</w:t>
      </w:r>
      <w:bookmarkEnd w:id="13"/>
    </w:p>
    <w:p w14:paraId="3F1E97E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首场开市仪式（9月25日中秋当晚）：以苗族最高待客礼仪打造开业爆点，四大核心环节串联造势，快速塑造仪式感、氛围感、传播感，打响「九黎月市」品牌首秀。</w:t>
      </w:r>
    </w:p>
    <w:p w14:paraId="1821F87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每日非遗常态化演艺矩阵：错峰景区核心演艺时段，主题巡游等特色节目，形成「白天观世界级地标、赏非遗演艺、夜间逛苗乡集市」的完整游玩消费动线。</w:t>
      </w:r>
    </w:p>
    <w:p w14:paraId="354F09B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14" w:name="heading_14"/>
      <w:r>
        <w:rPr>
          <w:rFonts w:hint="eastAsia" w:asciiTheme="minorEastAsia" w:hAnsiTheme="minorEastAsia" w:eastAsiaTheme="minorEastAsia" w:cstheme="minorEastAsia"/>
        </w:rPr>
        <w:t>（三）沉浸式互动体验与流量赋能</w:t>
      </w:r>
      <w:bookmarkEnd w:id="14"/>
    </w:p>
    <w:p w14:paraId="334A900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落地九黎通关文牒集章打卡体系，依托九道门、九黎宫、九黎神柱九大文化节点设置专属印章，游客集章可兑换苗乡特色好礼，有效拉长游客场内停留时长；</w:t>
      </w:r>
    </w:p>
    <w:p w14:paraId="48C1460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打造苗汉双语中秋灯谜、苗族跳月篝火晚会、苗装换装旅拍打卡等轻量化互动场景，联动集市消费推出「穿苗装享专属优惠」活动，提升游客参与度与消费意愿；</w:t>
      </w:r>
    </w:p>
    <w:p w14:paraId="7285599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搭建全域新媒体传播矩阵，联动抖音、小红书、美团、携程等平台，发起#九黎月市 #苗乡双节寻味 专属话题，邀约文旅达人、美食探店博主现场直播、内容创作，实现线上引流、线下转化、全网传播；</w:t>
      </w:r>
    </w:p>
    <w:p w14:paraId="5943457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推行「商户共创运营模式」，要求商户兼具经营者与文化传播者双重身份，配合景区开展民俗展示、互动体验、文化讲解，统一集市文化调性，实现场景与业态深度共生。</w:t>
      </w:r>
    </w:p>
    <w:p w14:paraId="5C5CFCB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15" w:name="heading_15"/>
      <w:r>
        <w:rPr>
          <w:rFonts w:hint="eastAsia" w:asciiTheme="minorEastAsia" w:hAnsiTheme="minorEastAsia" w:eastAsiaTheme="minorEastAsia" w:cstheme="minorEastAsia"/>
        </w:rPr>
        <w:t>（四）摊位视觉标准化规范</w:t>
      </w:r>
      <w:bookmarkEnd w:id="15"/>
    </w:p>
    <w:p w14:paraId="48361D3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全域视觉统一：所有摊位采用苗族吊脚楼专属造型，搭配蜡染靛蓝色顶棚、苗绣纹样软装，贴合景区整体苗族建筑风格，实现「一街一景、步移景异」的沉浸式苗寨风貌；</w:t>
      </w:r>
    </w:p>
    <w:p w14:paraId="2693BEB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标识体系统一：所有摊位实行「苗汉双语招牌+本土美食文化故事牌+明码标价签」三统一标准，规范醒目、文化属性突出；</w:t>
      </w:r>
    </w:p>
    <w:p w14:paraId="412BE98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人员形象统一：全体从业人员持证上岗，统一穿戴苗风工装、口罩、手套，规范服务礼仪，整体提升集市专业化、特色化形象。</w:t>
      </w:r>
    </w:p>
    <w:p w14:paraId="61BA2F2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16" w:name="heading_16"/>
      <w:r>
        <w:rPr>
          <w:rFonts w:hint="eastAsia" w:asciiTheme="minorEastAsia" w:hAnsiTheme="minorEastAsia" w:eastAsiaTheme="minorEastAsia" w:cstheme="minorEastAsia"/>
          <w:b/>
          <w:bCs/>
        </w:rPr>
        <w:t>五、合作模式及甲乙双方权责</w:t>
      </w:r>
      <w:bookmarkEnd w:id="16"/>
    </w:p>
    <w:p w14:paraId="5D2E988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17" w:name="heading_17"/>
      <w:r>
        <w:rPr>
          <w:rFonts w:hint="eastAsia" w:asciiTheme="minorEastAsia" w:hAnsiTheme="minorEastAsia" w:eastAsiaTheme="minorEastAsia" w:cstheme="minorEastAsia"/>
        </w:rPr>
        <w:t>（一）核心合作模式</w:t>
      </w:r>
      <w:bookmarkEnd w:id="17"/>
    </w:p>
    <w:p w14:paraId="14D80C3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免费提供场地 + 无固定保底收益 + </w:t>
      </w:r>
      <w:bookmarkStart w:id="53" w:name="_GoBack"/>
      <w:bookmarkEnd w:id="53"/>
      <w:r>
        <w:rPr>
          <w:rFonts w:hint="eastAsia" w:asciiTheme="minorEastAsia" w:hAnsiTheme="minorEastAsia" w:eastAsiaTheme="minorEastAsia" w:cstheme="minorEastAsia"/>
        </w:rPr>
        <w:t>营业额分成 + 全域统一收银 + 透明对账结算</w:t>
      </w:r>
    </w:p>
    <w:p w14:paraId="29786AD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本项目无任何固定保底营收要求，甲乙双方所有收益、成本、风险均依托真实经营流水核算，完全贴合文旅集市市场化运营规律，实现风险共担、收益共享、互利共赢。</w:t>
      </w:r>
    </w:p>
    <w:p w14:paraId="7DB6E27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18" w:name="heading_18"/>
      <w:r>
        <w:rPr>
          <w:rFonts w:hint="eastAsia" w:asciiTheme="minorEastAsia" w:hAnsiTheme="minorEastAsia" w:eastAsiaTheme="minorEastAsia" w:cstheme="minorEastAsia"/>
        </w:rPr>
        <w:t>（二）甲方（景区运营方）权责</w:t>
      </w:r>
      <w:bookmarkEnd w:id="18"/>
    </w:p>
    <w:p w14:paraId="646D526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免费提供集市全部合规经营场地，完成场地基础通水、通电管线接驳，提供基础经营硬件条件，保障摊位正常运营；</w:t>
      </w:r>
    </w:p>
    <w:p w14:paraId="6BCE633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负责景区公共区域全域保洁、安保巡逻、场地日常安全巡查、客流秩序维护，保障集市整体经营环境安全有序；</w:t>
      </w:r>
    </w:p>
    <w:p w14:paraId="41BD054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搭建专属统一收银系统、对公收款账户，所有游客消费资金统一归集至甲方对公账户，建立每日对账、每月汇总台账，账务数据全程公开、透明、可查；</w:t>
      </w:r>
    </w:p>
    <w:p w14:paraId="3F0755F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全权负责业态准入审核与动态管控，严格监督乙方落实「一摊两品」经营标准，规范食品安全、环境卫生、经营秩序、服务质量，严查违规经营行为；</w:t>
      </w:r>
    </w:p>
    <w:p w14:paraId="1007C0D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 统筹双节主题活动策划、非遗演艺编排、新媒体宣传引流、场景氛围搭建，为集市持续赋能客流与热度；</w:t>
      </w:r>
    </w:p>
    <w:p w14:paraId="03C0CBA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 按月完成营业额核对、水电费用抵扣、营业额分成结算，所有对账凭证、流水资料全程归档留存，保障结算合规透明；</w:t>
      </w:r>
    </w:p>
    <w:p w14:paraId="64156E8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7. 针对乙方违规经营行为有权下达整改通知，逾期未整改、整改不到位的，有权扣除保证金、中止合作，全面规范集市经营品质。</w:t>
      </w:r>
    </w:p>
    <w:p w14:paraId="64B3DF1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19" w:name="heading_19"/>
      <w:r>
        <w:rPr>
          <w:rFonts w:hint="eastAsia" w:asciiTheme="minorEastAsia" w:hAnsiTheme="minorEastAsia" w:eastAsiaTheme="minorEastAsia" w:cstheme="minorEastAsia"/>
        </w:rPr>
        <w:t>（三）乙方（中标合作方）权责</w:t>
      </w:r>
      <w:bookmarkEnd w:id="19"/>
    </w:p>
    <w:p w14:paraId="013F010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全额承担经营周期内所有水费、电费，按月据实核对结算，逾期未缴纳的，甲方有权暂停水电供应，由此造成的经营损失由乙方自行承担；</w:t>
      </w:r>
    </w:p>
    <w:p w14:paraId="6D4E545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全额自筹承担摊位搭建、软装氛围布置、经营设备采购、从业人员薪酬、食材物料采购、耗材损耗、宣传推广等全部运营成本；</w:t>
      </w:r>
    </w:p>
    <w:p w14:paraId="66826C0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严格落地一摊两品硬性业态标准，严禁超范围经营、占道经营、扩摊经营、跨区经营，严禁弱化本土特色、同质化重复经营，全程接受甲方业态管控；</w:t>
      </w:r>
    </w:p>
    <w:p w14:paraId="3E4D439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全面承担经营范围内的食品安全、从业人员人身安全、消防安全、用电安全、游客消费安全等全部责任，涉及的经济赔付、行政处罚、法律纠纷均由乙方全权负责；</w:t>
      </w:r>
    </w:p>
    <w:p w14:paraId="54D4206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 建立完善的日常自查机制，落实每日安全巡查、食品48小时留样、消防器材点检、用电隐患排查制度，完整留存各类台账记录，随时配合甲方及监管部门检查；</w:t>
      </w:r>
    </w:p>
    <w:p w14:paraId="506F1EA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 无条件服从景区客流管控、重大活动调度、极端天气停业安排，全力配合甲方各项检查、整改、调度工作；</w:t>
      </w:r>
    </w:p>
    <w:p w14:paraId="511BEC9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7. 合作期满后无条件按时撤场，自行拆除所有自建设施、清理场地杂物、恢复场地原貌，通过甲方最终验收。</w:t>
      </w:r>
    </w:p>
    <w:p w14:paraId="33E83DA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20" w:name="heading_20"/>
      <w:r>
        <w:rPr>
          <w:rFonts w:hint="eastAsia" w:asciiTheme="minorEastAsia" w:hAnsiTheme="minorEastAsia" w:eastAsiaTheme="minorEastAsia" w:cstheme="minorEastAsia"/>
          <w:b/>
          <w:bCs/>
        </w:rPr>
        <w:t>六、市场化竞价与评审规则</w:t>
      </w:r>
      <w:bookmarkEnd w:id="20"/>
    </w:p>
    <w:p w14:paraId="4FCD785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21" w:name="heading_21"/>
      <w:r>
        <w:rPr>
          <w:rFonts w:hint="eastAsia" w:asciiTheme="minorEastAsia" w:hAnsiTheme="minorEastAsia" w:eastAsiaTheme="minorEastAsia" w:cstheme="minorEastAsia"/>
        </w:rPr>
        <w:t>（一）竞价标的核心规则</w:t>
      </w:r>
      <w:bookmarkEnd w:id="21"/>
    </w:p>
    <w:p w14:paraId="2A06559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竞价核心标的：营业额分成比例，无固定保底营收要求，甲方所有收益完全依托乙方真实经营流水浮动核算，贴合文旅市场不确定性特征；</w:t>
      </w:r>
    </w:p>
    <w:p w14:paraId="40D5809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报价底线要求：乙方最终报价不得低于营业额的5%，无报价上限，报价越高对应评审得分越高，兼顾国资收益最大化与市场化公平性；</w:t>
      </w:r>
    </w:p>
    <w:p w14:paraId="337B7CE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理性竞价引导：结合项目多维度盈亏测算，优先推荐乙方在5%-8%区间理性报价，既可保障中标高分优势，又可规避虚高报价导致的经营亏损、消极运营、违约弃标等风险，实现甲乙双向共赢；</w:t>
      </w:r>
    </w:p>
    <w:p w14:paraId="35B3478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硬性收银约束：所有游客消费必须通过甲方统一收银系统完成收款，严禁乙方私收现金、私收微信/支付宝、截留、隐匿营业额，一经查实直接认定为根本性违约，甲方立即终止合作。</w:t>
      </w:r>
    </w:p>
    <w:p w14:paraId="0910465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22" w:name="heading_22"/>
      <w:r>
        <w:rPr>
          <w:rFonts w:hint="eastAsia" w:asciiTheme="minorEastAsia" w:hAnsiTheme="minorEastAsia" w:eastAsiaTheme="minorEastAsia" w:cstheme="minorEastAsia"/>
        </w:rPr>
        <w:t>（二）公开招商综合评分规则（总分100分）</w:t>
      </w:r>
      <w:bookmarkEnd w:id="22"/>
    </w:p>
    <w:p w14:paraId="2428A7F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本次评分体系兼顾收益竞价、落地实操能力、安全管控水平、业态专业度，彻底摒弃唯价格论，适配无保底市场化运营模式，保障中标单位综合实力最优。</w:t>
      </w:r>
    </w:p>
    <w:p w14:paraId="221C816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分成报价方案（50分）：基础分30分（对应5%底线报价），报价每高于5%基础线0.5个百分点加2分，最高满分50分，阶梯式计分，公平匹配报价收益；</w:t>
      </w:r>
    </w:p>
    <w:p w14:paraId="140A775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集市运营与业态规划方案（25分）：重点考核一摊两品业态落地规划、本土美食文化赋值、摊位错位布局、双节主题活动落地、人员排班、客流疏导等核心内容，优先遴选熟悉彭水本土美食、擅长文旅夜市运营的服务商；</w:t>
      </w:r>
    </w:p>
    <w:p w14:paraId="650794C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安全管理体系（15分）：考核食品安全溯源留样、消防用电管控、极端天气应急、游客投诉处置、安全台账体系建设，全方位保障项目零安全风险；</w:t>
      </w:r>
    </w:p>
    <w:p w14:paraId="5B0C0DD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企业资质与同类业绩（10分）：考核企业证照齐全性、无违规失信记录、景区双节集市/主题夜市成功运营案例，佐证企业落地实操能力。</w:t>
      </w:r>
    </w:p>
    <w:p w14:paraId="731EEBF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23" w:name="heading_23"/>
      <w:r>
        <w:rPr>
          <w:rFonts w:hint="eastAsia" w:asciiTheme="minorEastAsia" w:hAnsiTheme="minorEastAsia" w:eastAsiaTheme="minorEastAsia" w:cstheme="minorEastAsia"/>
        </w:rPr>
        <w:t>（三）中标与公示规则</w:t>
      </w:r>
      <w:bookmarkEnd w:id="23"/>
    </w:p>
    <w:p w14:paraId="392A31B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所有通过资格预审的有效报名单位参与统一评审，综合得分排名第一的单位确定为中标单位；若总分一致，依次对比安全管理得分、运营方案得分，优先选择安全管控完善、落地方案优质的合作方；</w:t>
      </w:r>
    </w:p>
    <w:p w14:paraId="093C391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评审结果在景区办公区公示3个工作日，全程留存公示影像资料，公示无异议后正式发放中标通知书；</w:t>
      </w:r>
    </w:p>
    <w:p w14:paraId="0358E6D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本次招商评审台账、打分表、企业资质、报价文件、运营方案等所有资料统一归档留存，全程可追溯、可核查。</w:t>
      </w:r>
    </w:p>
    <w:p w14:paraId="24AD2C7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24" w:name="heading_24"/>
      <w:r>
        <w:rPr>
          <w:rFonts w:hint="eastAsia" w:asciiTheme="minorEastAsia" w:hAnsiTheme="minorEastAsia" w:eastAsiaTheme="minorEastAsia" w:cstheme="minorEastAsia"/>
        </w:rPr>
        <w:t>（四）透明化结算流程</w:t>
      </w:r>
      <w:bookmarkEnd w:id="24"/>
    </w:p>
    <w:p w14:paraId="5DAD748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每日对账：甲乙双方双人核对当日收银流水，签字确认，形成每日经营台账；</w:t>
      </w:r>
    </w:p>
    <w:p w14:paraId="22135C0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每月核算：每月5日前，甲方出具上月完整营业额台账、水电费用明细，数据全程公开；</w:t>
      </w:r>
    </w:p>
    <w:p w14:paraId="69B944F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月度结算：双方核对无误后，扣除甲方约定分成、乙方应付水电费，剩余经营款项于10个工作日内拨付至乙方对公账户；</w:t>
      </w:r>
    </w:p>
    <w:p w14:paraId="62D3392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资料归档：所有对账凭证、流水台账、结算单据，甲乙双方各自归档留存，留存期限不少于2年。</w:t>
      </w:r>
    </w:p>
    <w:p w14:paraId="3A9B747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25" w:name="heading_25"/>
      <w:r>
        <w:rPr>
          <w:rFonts w:hint="eastAsia" w:asciiTheme="minorEastAsia" w:hAnsiTheme="minorEastAsia" w:eastAsiaTheme="minorEastAsia" w:cstheme="minorEastAsia"/>
          <w:b/>
          <w:bCs/>
        </w:rPr>
        <w:t>七、参评企业准入资质要求（硬性全员审核，一票否决）</w:t>
      </w:r>
      <w:bookmarkEnd w:id="25"/>
    </w:p>
    <w:p w14:paraId="132EF79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项目实行资质前置审核、不合格一票否决机制，所有参与公开招商遴选的参评单位，必须全部满足以下准入条件，缺一不可，未达标单位直接取消参选、评审、中标资格，全程留存资质审核台账，保障招商合规性与运营专业性。</w:t>
      </w:r>
    </w:p>
    <w:p w14:paraId="1019CC1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26" w:name="heading_26"/>
      <w:r>
        <w:rPr>
          <w:rFonts w:hint="eastAsia" w:asciiTheme="minorEastAsia" w:hAnsiTheme="minorEastAsia" w:eastAsiaTheme="minorEastAsia" w:cstheme="minorEastAsia"/>
        </w:rPr>
        <w:t>（一）基础主体资质</w:t>
      </w:r>
      <w:bookmarkEnd w:id="26"/>
    </w:p>
    <w:p w14:paraId="1916812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参评单位须为依法注册、合法存续的独立法人企业，具备有效的营业执照，经营范围包含餐饮管理、夜市运营、商业策划、景区配套运营等相关类目，具备独立承担民事责任、履约责任及涉税责任的能力。</w:t>
      </w:r>
    </w:p>
    <w:p w14:paraId="3A0F0FE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企业注册成立时间满1年及以上，具备稳定的经营架构与运维团队，杜绝新注册空壳企业、挂靠企业、个体工商户参与本次比选。</w:t>
      </w:r>
    </w:p>
    <w:p w14:paraId="3527E79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27" w:name="heading_27"/>
      <w:r>
        <w:rPr>
          <w:rFonts w:hint="eastAsia" w:asciiTheme="minorEastAsia" w:hAnsiTheme="minorEastAsia" w:eastAsiaTheme="minorEastAsia" w:cstheme="minorEastAsia"/>
        </w:rPr>
        <w:t>（二）专项经营资质</w:t>
      </w:r>
      <w:bookmarkEnd w:id="27"/>
    </w:p>
    <w:p w14:paraId="29C03BA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企业须持有合法有效的食品经营许可证，证照在有效期内，证照信息与企业法人主体一致，严禁借用、挂靠、冒用他人资质参选。</w:t>
      </w:r>
    </w:p>
    <w:p w14:paraId="1B7E3D0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具备完善的食品经营、餐饮服务、场地市集运营配套管理制度，可独立完成集市食品安全管控、摊位统筹、业态管控、现场运维等全流程工作。</w:t>
      </w:r>
    </w:p>
    <w:p w14:paraId="0398BFF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28" w:name="heading_28"/>
      <w:r>
        <w:rPr>
          <w:rFonts w:hint="eastAsia" w:asciiTheme="minorEastAsia" w:hAnsiTheme="minorEastAsia" w:eastAsiaTheme="minorEastAsia" w:cstheme="minorEastAsia"/>
        </w:rPr>
        <w:t>（三）项目业绩资质（核心硬性要求）</w:t>
      </w:r>
      <w:bookmarkEnd w:id="28"/>
    </w:p>
    <w:p w14:paraId="7D5AA03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近3年内（2023年-2026年）拥有2次及以上省级/市级景区节假日双节集市、夜游主题集市、文旅美食街区完整独立运营成功案例，具备从前期筹备、业态招商、现场管理、安全管控、活动落地、结算对账全流程实操经验。</w:t>
      </w:r>
    </w:p>
    <w:p w14:paraId="1E1BCBB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参选单位须提供完整业绩佐证材料，包含正式合作合同、项目实景图、开业及运营台账、甲方验收证明、活动总结、运营数据报表等，资料不全、案例虚假、挂靠案例均视为无效业绩，直接取消参选资格。</w:t>
      </w:r>
    </w:p>
    <w:p w14:paraId="0227CF3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优先遴选具备重庆本地文旅夜市、渝东南景区集市、地方特色美食市集运营经验的企业，熟悉本土消费市场与民俗文旅场景。</w:t>
      </w:r>
    </w:p>
    <w:p w14:paraId="0BB0D91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29" w:name="heading_29"/>
      <w:r>
        <w:rPr>
          <w:rFonts w:hint="eastAsia" w:asciiTheme="minorEastAsia" w:hAnsiTheme="minorEastAsia" w:eastAsiaTheme="minorEastAsia" w:cstheme="minorEastAsia"/>
        </w:rPr>
        <w:t>（四）信用与合规资质</w:t>
      </w:r>
      <w:bookmarkEnd w:id="29"/>
    </w:p>
    <w:p w14:paraId="5547FEF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企业及法定代表人近3年内无食品安全行政处罚、无消防安全违法记录、无安全生产事故、无重大经营失信记录，无偷税漏税、虚假经营、合同违约等不良信用信息。</w:t>
      </w:r>
    </w:p>
    <w:p w14:paraId="386155C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未被列入国家企业信用信息公示系统经营异常名录、严重违法失信名单、政府采购严重违法失信行为记录名单，可提供信用中国、国家企业信用信息公示系统有效查询截图佐证。</w:t>
      </w:r>
    </w:p>
    <w:p w14:paraId="1051BB7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无同类文旅项目中标弃标、中途毁约、违规私自收款、业态违规整改不力等不良履约记录，完全认可并遵守本项目无保底分成、统一收银、保证金管控、业态严控等全部合作规则。</w:t>
      </w:r>
    </w:p>
    <w:p w14:paraId="6C91195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30" w:name="heading_30"/>
      <w:r>
        <w:rPr>
          <w:rFonts w:hint="eastAsia" w:asciiTheme="minorEastAsia" w:hAnsiTheme="minorEastAsia" w:eastAsiaTheme="minorEastAsia" w:cstheme="minorEastAsia"/>
        </w:rPr>
        <w:t>（五）专项运营能力资质</w:t>
      </w:r>
      <w:bookmarkEnd w:id="30"/>
    </w:p>
    <w:p w14:paraId="629EAB0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具备专业的运营、安全、服务管理团队，配备专职安全管理人员、现场运维人员，可建立标准化食品安全台账、消防巡查台账、日常运营台账、应急处置台账。</w:t>
      </w:r>
    </w:p>
    <w:p w14:paraId="4E1B6A8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具备彭水本土「渝味360碗」特色美食资源整合能力，熟悉本地非遗美食文化、品类特性，可严格落地一摊两品硬性业态标准，保障集市文化属性与商业属性双向落地，杜绝纯网红低端化、同质化经营。</w:t>
      </w:r>
    </w:p>
    <w:p w14:paraId="18BAD71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具备双节文旅活动落地、新媒体引流、客群运营、业态错位布局的实操能力，可配合景区完成双节主题氛围营造、非遗联动、游客互动体验等配套工作。</w:t>
      </w:r>
    </w:p>
    <w:p w14:paraId="4680875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八、公开报名截止时间及比选时间</w:t>
      </w:r>
    </w:p>
    <w:p w14:paraId="23E454D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（一）报名截止时间：2026年9月11日17:00止；</w:t>
      </w:r>
    </w:p>
    <w:p w14:paraId="07A9230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（二）比选日期：2026年9月14日上午10:00；</w:t>
      </w:r>
    </w:p>
    <w:p w14:paraId="1276E72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（三）比选地址：蚩尤九黎城景区游客中心三楼会议室；</w:t>
      </w:r>
    </w:p>
    <w:p w14:paraId="7D219EA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报名地址：蚩尤九黎城景区游客中心三楼商业管理部办公室。</w:t>
      </w:r>
    </w:p>
    <w:p w14:paraId="4A4986E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报名联系人：宁允     联系电话：18996968626</w:t>
      </w:r>
    </w:p>
    <w:p w14:paraId="19D1E85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31" w:name="heading_31"/>
      <w:r>
        <w:rPr>
          <w:rFonts w:hint="eastAsia" w:asciiTheme="minorEastAsia" w:hAnsiTheme="minorEastAsia" w:eastAsiaTheme="minorEastAsia" w:cstheme="minorEastAsia"/>
          <w:b/>
          <w:bCs/>
          <w:lang w:val="en-US" w:eastAsia="zh-CN"/>
        </w:rPr>
        <w:t>九</w:t>
      </w:r>
      <w:r>
        <w:rPr>
          <w:rFonts w:hint="eastAsia" w:asciiTheme="minorEastAsia" w:hAnsiTheme="minorEastAsia" w:eastAsiaTheme="minorEastAsia" w:cstheme="minorEastAsia"/>
          <w:b/>
          <w:bCs/>
        </w:rPr>
        <w:t>、公开招商全流程</w:t>
      </w:r>
      <w:bookmarkEnd w:id="31"/>
    </w:p>
    <w:p w14:paraId="05F922B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项目完成内部立项审批、可行性论证与风控评估，定稿招商方案及全套附件，通过官方渠道发布公开招商公告，明确报名条件、资料要求、报名时限、评审规则；</w:t>
      </w:r>
    </w:p>
    <w:p w14:paraId="2547825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面向社会开放公开报名通道，接受所有符合准入资质的独立法人企业自愿报名，同步公示全套招商文件、业态标准、竞价规则、安全要求、履约规范；</w:t>
      </w:r>
    </w:p>
    <w:p w14:paraId="688D907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报名单位在规定时限内密封报送资质文件、运营方案、业态规划、安全预案、书面报价函，逾期报送、资料不全、资质不达标的，视为无效报名，自动丧失参选资格；</w:t>
      </w:r>
    </w:p>
    <w:p w14:paraId="00BE839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甲方组建3人及以上单数专业评审小组（含公司班子成员、集团内控部、商业管理部、旅游事业部人员），全体评审人员签署回避承诺书，全程依规独立评审，保障评审公平、公正、公开；</w:t>
      </w:r>
    </w:p>
    <w:p w14:paraId="7BCB170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 开展资格预审、资料核验、独立打分、分数汇总排序，形成正式《公开招商综合评审汇总报告》，明确拟中标单位；</w:t>
      </w:r>
    </w:p>
    <w:p w14:paraId="1BECD9F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 对拟中标结果进行公示，公示期不少于3个工作日，留存公示现场影像及公示页面存档资料，公示期满无异议后正式发放中标通知书、未中标单位告知函；</w:t>
      </w:r>
    </w:p>
    <w:p w14:paraId="0282142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7. 组织中标单位实地踏勘经营场地，核对水电点位、摊位布局、经营边界；</w:t>
      </w:r>
    </w:p>
    <w:p w14:paraId="2844F40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8. 中标单位在3个工作日内足额缴纳履约保证金、食品安全保证金；</w:t>
      </w:r>
    </w:p>
    <w:p w14:paraId="5736DFC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9. 甲乙双方签订正式《集市合作经营协议》及《安全责任书》，全套资料装订归档，留存期限不少于5年；</w:t>
      </w:r>
    </w:p>
    <w:p w14:paraId="40A3141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10. 乙方进场开展场地搭建、业态筹备、安全验收，完成开业运营。</w:t>
      </w:r>
    </w:p>
    <w:p w14:paraId="23611A1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32" w:name="heading_32"/>
      <w:r>
        <w:rPr>
          <w:rFonts w:hint="eastAsia" w:asciiTheme="minorEastAsia" w:hAnsiTheme="minorEastAsia" w:eastAsiaTheme="minorEastAsia" w:cstheme="minorEastAsia"/>
          <w:b/>
          <w:bCs/>
          <w:lang w:val="en-US" w:eastAsia="zh-CN"/>
        </w:rPr>
        <w:t>十</w:t>
      </w:r>
      <w:r>
        <w:rPr>
          <w:rFonts w:hint="eastAsia" w:asciiTheme="minorEastAsia" w:hAnsiTheme="minorEastAsia" w:eastAsiaTheme="minorEastAsia" w:cstheme="minorEastAsia"/>
          <w:b/>
          <w:bCs/>
        </w:rPr>
        <w:t>、违约处置条款</w:t>
      </w:r>
      <w:bookmarkEnd w:id="32"/>
    </w:p>
    <w:p w14:paraId="0237E8A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业态违规（超范围、未落实一摊两品、同质化经营）：限期3日内完成整改，扣除20%履约保证金；二次违规或整改不到位，甲方有权单方解除合作协议，全额没收保证金；</w:t>
      </w:r>
    </w:p>
    <w:p w14:paraId="47DDB8F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私自收款、隐匿截留营业额：认定为根本性违约，甲方立即终止合作，没收全部未结算款项及全额保证金，同时保留向乙方追偿经济损失的合法权利；</w:t>
      </w:r>
    </w:p>
    <w:p w14:paraId="3A6D821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水电费逾期缴纳：逾期7日未足额缴纳水电费，甲方有权停水停电，期间产生的全部经营损失由乙方自行承担；逾期15日未缴纳，甲方直接解除合作协议；</w:t>
      </w:r>
    </w:p>
    <w:p w14:paraId="258771A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服务与卫生违规：游客有效投诉累计3次且整改不到位、场地卫生长期不达标、经营秩序混乱的，扣除50%保证金，拒不整改的直接解约；</w:t>
      </w:r>
    </w:p>
    <w:p w14:paraId="21CDFC1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 安全事故违规：经营期内发生食品安全事故、火灾事故、游客人身伤害等安全事件，所有经济赔偿、行政处罚、法律责任由乙方全额承担，甲方无条件解除合作，保证金不予退还；</w:t>
      </w:r>
    </w:p>
    <w:p w14:paraId="2CF7A8A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 逾期撤场违规：合作期满未按时撤场、未恢复场地原貌、遗留杂物设施的，甲方扣除全部保证金，并按标准收取场地占用费，有权追偿场地修复费用。</w:t>
      </w:r>
    </w:p>
    <w:p w14:paraId="59FDA89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33" w:name="heading_33"/>
      <w:r>
        <w:rPr>
          <w:rFonts w:hint="eastAsia" w:asciiTheme="minorEastAsia" w:hAnsiTheme="minorEastAsia" w:eastAsiaTheme="minorEastAsia" w:cstheme="minorEastAsia"/>
          <w:b/>
          <w:bCs/>
        </w:rPr>
        <w:t>十</w:t>
      </w:r>
      <w:r>
        <w:rPr>
          <w:rFonts w:hint="eastAsia" w:asciiTheme="minorEastAsia" w:hAnsiTheme="minorEastAsia" w:eastAsiaTheme="minorEastAsia" w:cstheme="minorEastAsia"/>
          <w:b/>
          <w:bCs/>
          <w:lang w:val="en-US" w:eastAsia="zh-CN"/>
        </w:rPr>
        <w:t>一</w:t>
      </w:r>
      <w:r>
        <w:rPr>
          <w:rFonts w:hint="eastAsia" w:asciiTheme="minorEastAsia" w:hAnsiTheme="minorEastAsia" w:eastAsiaTheme="minorEastAsia" w:cstheme="minorEastAsia"/>
          <w:b/>
          <w:bCs/>
        </w:rPr>
        <w:t>、安全保障与应急管理体系</w:t>
      </w:r>
      <w:bookmarkEnd w:id="33"/>
    </w:p>
    <w:p w14:paraId="442886F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34" w:name="heading_34"/>
      <w:r>
        <w:rPr>
          <w:rFonts w:hint="eastAsia" w:asciiTheme="minorEastAsia" w:hAnsiTheme="minorEastAsia" w:eastAsiaTheme="minorEastAsia" w:cstheme="minorEastAsia"/>
        </w:rPr>
        <w:t>（一）食品安全管理</w:t>
      </w:r>
      <w:bookmarkEnd w:id="34"/>
    </w:p>
    <w:p w14:paraId="64E7120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所有食材严格执行索证索票、溯源登记制度，熟食必须落实48小时留样制度，建立完整食品安全台账；</w:t>
      </w:r>
    </w:p>
    <w:p w14:paraId="3802C6A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全体从业人员必须持有效健康证上岗，全程规范穿戴工装、口罩、手套，严守食品操作规范；</w:t>
      </w:r>
    </w:p>
    <w:p w14:paraId="17C3A3B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严禁售卖三无、过期、变质、不合格食品，若出现疑似食物中毒事件，乙方需立即封存涉事食材、关停对应摊位、第一时间上报甲方，全力配合市场监管部门调查处置。</w:t>
      </w:r>
    </w:p>
    <w:p w14:paraId="61DFD7D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35" w:name="heading_35"/>
      <w:r>
        <w:rPr>
          <w:rFonts w:hint="eastAsia" w:asciiTheme="minorEastAsia" w:hAnsiTheme="minorEastAsia" w:eastAsiaTheme="minorEastAsia" w:cstheme="minorEastAsia"/>
        </w:rPr>
        <w:t>（二）用电、消防安全管理</w:t>
      </w:r>
      <w:bookmarkEnd w:id="35"/>
    </w:p>
    <w:p w14:paraId="5484ADB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全场电路统一穿管保护，每个摊位独立配备漏电保护器，严禁私拉乱接、违规用电；</w:t>
      </w:r>
    </w:p>
    <w:p w14:paraId="2826DDD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每摊位标配4kg干粉灭火器不少于1具，明火经营摊位额外配备灭火毯，明火操作区域与可燃物安全间距≥3米；</w:t>
      </w:r>
    </w:p>
    <w:p w14:paraId="47BF569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每日闭店前逐摊核查电源、火源、燃气开关，确认全部关闭后方可离场，完整留存防火巡查记录。</w:t>
      </w:r>
    </w:p>
    <w:p w14:paraId="5BAAE12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36" w:name="heading_36"/>
      <w:r>
        <w:rPr>
          <w:rFonts w:hint="eastAsia" w:asciiTheme="minorEastAsia" w:hAnsiTheme="minorEastAsia" w:eastAsiaTheme="minorEastAsia" w:cstheme="minorEastAsia"/>
        </w:rPr>
        <w:t>（三）极端天气与综合应急处置</w:t>
      </w:r>
      <w:bookmarkEnd w:id="36"/>
    </w:p>
    <w:p w14:paraId="6589C4E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遇暴雨、大风、雷电、高温红色预警等极端天气，乙方必须无条件服从甲方停业通知，提前完成摊位防风、防雨、加固防护工作；未配合调度、未做好防护导致设施损毁、游客受伤、安全事故的，由乙方承担全部责任与损失。</w:t>
      </w:r>
    </w:p>
    <w:p w14:paraId="6127831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b/>
          <w:bCs/>
        </w:rPr>
      </w:pPr>
      <w:bookmarkStart w:id="37" w:name="heading_43"/>
      <w:r>
        <w:rPr>
          <w:rFonts w:hint="eastAsia" w:asciiTheme="minorEastAsia" w:hAnsiTheme="minorEastAsia" w:eastAsiaTheme="minorEastAsia" w:cstheme="minorEastAsia"/>
          <w:b/>
          <w:bCs/>
        </w:rPr>
        <w:t>十</w:t>
      </w:r>
      <w:r>
        <w:rPr>
          <w:rFonts w:hint="eastAsia" w:asciiTheme="minorEastAsia" w:hAnsiTheme="minorEastAsia" w:eastAsiaTheme="minorEastAsia" w:cstheme="minorEastAsia"/>
          <w:b/>
          <w:bCs/>
          <w:lang w:val="en-US" w:eastAsia="zh-CN"/>
        </w:rPr>
        <w:t>二</w:t>
      </w:r>
      <w:r>
        <w:rPr>
          <w:rFonts w:hint="eastAsia" w:asciiTheme="minorEastAsia" w:hAnsiTheme="minorEastAsia" w:eastAsiaTheme="minorEastAsia" w:cstheme="minorEastAsia"/>
          <w:b/>
          <w:bCs/>
        </w:rPr>
        <w:t>、附则</w:t>
      </w:r>
      <w:bookmarkEnd w:id="37"/>
    </w:p>
    <w:p w14:paraId="73983C4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本方案为本次招商比选核心指导文件，甲乙双方具体权利义务、细化约束、免责条款、合作细则，以双方正式签订的《集市合作经营协议》为准；</w:t>
      </w:r>
    </w:p>
    <w:p w14:paraId="1DDB40D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合作期内遇景区重大活动、政策调整、自然灾害、公共卫生事件等不可抗力因素，双方友好协商调整运营安排，互不追究违约责任；</w:t>
      </w:r>
    </w:p>
    <w:p w14:paraId="3D72740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本方案最终解释权归彭水县摩围山旅游开发有限公司商业管理部所有；</w:t>
      </w:r>
    </w:p>
    <w:p w14:paraId="595F72A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本方案及全套评审细则、保证金制度、安全责任书、报价文件等附件，均作为合作协议有效附件，具备同等法律效力。</w:t>
      </w:r>
    </w:p>
    <w:p w14:paraId="3790CEA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38" w:name="heading_44"/>
    </w:p>
    <w:p w14:paraId="25B3F8C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64E4445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3771CCF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5F520F50">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p>
    <w:p w14:paraId="77A9CDED">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附件1</w:t>
      </w:r>
    </w:p>
    <w:p w14:paraId="29DFC65D">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44"/>
          <w:szCs w:val="44"/>
        </w:rPr>
      </w:pPr>
    </w:p>
    <w:p w14:paraId="21379C7D">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公开招商综合评审细则及评分表</w:t>
      </w:r>
      <w:bookmarkEnd w:id="38"/>
    </w:p>
    <w:p w14:paraId="7C38465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39" w:name="heading_45"/>
    </w:p>
    <w:p w14:paraId="00BDC2B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一、评审打分标准（总分100分）</w:t>
      </w:r>
      <w:bookmarkEnd w:id="39"/>
    </w:p>
    <w:p w14:paraId="4E2B4AC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40" w:name="heading_46"/>
      <w:r>
        <w:rPr>
          <w:rFonts w:hint="eastAsia" w:asciiTheme="minorEastAsia" w:hAnsiTheme="minorEastAsia" w:eastAsiaTheme="minorEastAsia" w:cstheme="minorEastAsia"/>
        </w:rPr>
        <w:t>模块1：分成报价方案（50分）</w:t>
      </w:r>
      <w:bookmarkEnd w:id="40"/>
    </w:p>
    <w:p w14:paraId="127907C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基础分值30分（对应5%底线报价），报价每高于5%基础线0.5个百分点，加2分，最高满分50分。</w:t>
      </w:r>
    </w:p>
    <w:p w14:paraId="0C9231C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41" w:name="heading_47"/>
      <w:r>
        <w:rPr>
          <w:rFonts w:hint="eastAsia" w:asciiTheme="minorEastAsia" w:hAnsiTheme="minorEastAsia" w:eastAsiaTheme="minorEastAsia" w:cstheme="minorEastAsia"/>
        </w:rPr>
        <w:t>模块2：集市运营规划方案（25分）</w:t>
      </w:r>
      <w:bookmarkEnd w:id="41"/>
    </w:p>
    <w:p w14:paraId="793E7F7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一摊两品业态布局、本土美食文化赋值、分区错位经营合理性（0-10分）</w:t>
      </w:r>
    </w:p>
    <w:p w14:paraId="6429E4C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摊位管理、人员排班、客流疏导、日常运营管控方案完整性（0-8分）</w:t>
      </w:r>
    </w:p>
    <w:p w14:paraId="462DED9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双节主题活动、夜游引流、新媒体传播方案落地性（0-7分）</w:t>
      </w:r>
    </w:p>
    <w:p w14:paraId="5B421E5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42" w:name="heading_48"/>
      <w:r>
        <w:rPr>
          <w:rFonts w:hint="eastAsia" w:asciiTheme="minorEastAsia" w:hAnsiTheme="minorEastAsia" w:eastAsiaTheme="minorEastAsia" w:cstheme="minorEastAsia"/>
        </w:rPr>
        <w:t>模块3：安全管理体系（15分）</w:t>
      </w:r>
      <w:bookmarkEnd w:id="42"/>
    </w:p>
    <w:p w14:paraId="5138219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食品安全管控、留样、溯源、自查制度完善性（0-5分）</w:t>
      </w:r>
    </w:p>
    <w:p w14:paraId="6498151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消防、用电、明火、场地安全管理细则完整性（0-5分）</w:t>
      </w:r>
    </w:p>
    <w:p w14:paraId="3CA4CF0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极端天气、游客纠纷、安全事故应急处置预案完整性（0-5分）</w:t>
      </w:r>
    </w:p>
    <w:p w14:paraId="64BAFEF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43" w:name="heading_49"/>
      <w:r>
        <w:rPr>
          <w:rFonts w:hint="eastAsia" w:asciiTheme="minorEastAsia" w:hAnsiTheme="minorEastAsia" w:eastAsiaTheme="minorEastAsia" w:cstheme="minorEastAsia"/>
        </w:rPr>
        <w:t>模块4：企业资质与同类项目业绩（10分）</w:t>
      </w:r>
      <w:bookmarkEnd w:id="43"/>
    </w:p>
    <w:p w14:paraId="5C6A764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证照齐全有效、无行政处罚、无失信违规记录（0-4分）</w:t>
      </w:r>
    </w:p>
    <w:p w14:paraId="499B7D7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提供2个及以上景区双节集市、夜市运营成功佐证案例（0-6分）</w:t>
      </w:r>
    </w:p>
    <w:p w14:paraId="581792E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44" w:name="heading_50"/>
      <w:r>
        <w:rPr>
          <w:rFonts w:hint="eastAsia" w:asciiTheme="minorEastAsia" w:hAnsiTheme="minorEastAsia" w:eastAsiaTheme="minorEastAsia" w:cstheme="minorEastAsia"/>
        </w:rPr>
        <w:t>二、公开招商评审打分记录表</w:t>
      </w:r>
      <w:bookmarkEnd w:id="44"/>
    </w:p>
    <w:tbl>
      <w:tblPr>
        <w:tblStyle w:val="5"/>
        <w:tblW w:w="9465"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2035"/>
        <w:gridCol w:w="794"/>
        <w:gridCol w:w="1434"/>
        <w:gridCol w:w="1434"/>
        <w:gridCol w:w="1434"/>
        <w:gridCol w:w="2334"/>
      </w:tblGrid>
      <w:tr w14:paraId="08475A4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2035" w:type="dxa"/>
            <w:tcBorders>
              <w:top w:val="single" w:color="auto" w:sz="12" w:space="0"/>
              <w:left w:val="single" w:color="auto" w:sz="12" w:space="0"/>
              <w:bottom w:val="nil"/>
              <w:right w:val="nil"/>
            </w:tcBorders>
            <w:noWrap w:val="0"/>
            <w:tcMar>
              <w:top w:w="60" w:type="dxa"/>
              <w:left w:w="120" w:type="dxa"/>
              <w:bottom w:w="30" w:type="dxa"/>
              <w:right w:w="120" w:type="dxa"/>
            </w:tcMar>
            <w:vAlign w:val="center"/>
          </w:tcPr>
          <w:p w14:paraId="101F30C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r>
              <w:rPr>
                <w:rFonts w:hint="eastAsia" w:asciiTheme="minorEastAsia" w:hAnsiTheme="minorEastAsia" w:eastAsiaTheme="minorEastAsia" w:cstheme="minorEastAsia"/>
                <w:b/>
                <w:bCs w:val="0"/>
                <w:color w:val="000000" w:themeColor="text1"/>
                <w:u w:val="none"/>
                <w14:textFill>
                  <w14:solidFill>
                    <w14:schemeClr w14:val="tx1"/>
                  </w14:solidFill>
                </w14:textFill>
              </w:rPr>
              <w:t>评审项目</w:t>
            </w:r>
          </w:p>
        </w:tc>
        <w:tc>
          <w:tcPr>
            <w:tcW w:w="0" w:type="auto"/>
            <w:tcBorders>
              <w:top w:val="single" w:color="auto" w:sz="12" w:space="0"/>
              <w:left w:val="single" w:color="auto" w:sz="4" w:space="0"/>
              <w:bottom w:val="nil"/>
              <w:right w:val="nil"/>
            </w:tcBorders>
            <w:noWrap w:val="0"/>
            <w:tcMar>
              <w:top w:w="60" w:type="dxa"/>
              <w:left w:w="120" w:type="dxa"/>
              <w:bottom w:w="30" w:type="dxa"/>
              <w:right w:w="120" w:type="dxa"/>
            </w:tcMar>
            <w:vAlign w:val="center"/>
          </w:tcPr>
          <w:p w14:paraId="6E429B2E">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r>
              <w:rPr>
                <w:rFonts w:hint="eastAsia" w:asciiTheme="minorEastAsia" w:hAnsiTheme="minorEastAsia" w:eastAsiaTheme="minorEastAsia" w:cstheme="minorEastAsia"/>
                <w:b/>
                <w:bCs w:val="0"/>
                <w:color w:val="000000" w:themeColor="text1"/>
                <w:u w:val="none"/>
                <w14:textFill>
                  <w14:solidFill>
                    <w14:schemeClr w14:val="tx1"/>
                  </w14:solidFill>
                </w14:textFill>
              </w:rPr>
              <w:t>分值</w:t>
            </w:r>
          </w:p>
        </w:tc>
        <w:tc>
          <w:tcPr>
            <w:tcW w:w="1434" w:type="dxa"/>
            <w:tcBorders>
              <w:top w:val="single" w:color="auto" w:sz="12" w:space="0"/>
              <w:left w:val="single" w:color="auto" w:sz="4" w:space="0"/>
              <w:bottom w:val="nil"/>
              <w:right w:val="nil"/>
            </w:tcBorders>
            <w:noWrap w:val="0"/>
            <w:tcMar>
              <w:top w:w="60" w:type="dxa"/>
              <w:left w:w="120" w:type="dxa"/>
              <w:bottom w:w="30" w:type="dxa"/>
              <w:right w:w="120" w:type="dxa"/>
            </w:tcMar>
            <w:vAlign w:val="center"/>
          </w:tcPr>
          <w:p w14:paraId="51B479C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r>
              <w:rPr>
                <w:rFonts w:hint="eastAsia" w:asciiTheme="minorEastAsia" w:hAnsiTheme="minorEastAsia" w:eastAsiaTheme="minorEastAsia" w:cstheme="minorEastAsia"/>
                <w:b/>
                <w:bCs w:val="0"/>
                <w:color w:val="000000" w:themeColor="text1"/>
                <w:u w:val="none"/>
                <w14:textFill>
                  <w14:solidFill>
                    <w14:schemeClr w14:val="tx1"/>
                  </w14:solidFill>
                </w14:textFill>
              </w:rPr>
              <w:t>参评单位1得分</w:t>
            </w:r>
          </w:p>
        </w:tc>
        <w:tc>
          <w:tcPr>
            <w:tcW w:w="1434" w:type="dxa"/>
            <w:tcBorders>
              <w:top w:val="single" w:color="auto" w:sz="12" w:space="0"/>
              <w:left w:val="single" w:color="auto" w:sz="4" w:space="0"/>
              <w:bottom w:val="nil"/>
              <w:right w:val="nil"/>
            </w:tcBorders>
            <w:noWrap w:val="0"/>
            <w:tcMar>
              <w:top w:w="60" w:type="dxa"/>
              <w:left w:w="120" w:type="dxa"/>
              <w:bottom w:w="30" w:type="dxa"/>
              <w:right w:w="120" w:type="dxa"/>
            </w:tcMar>
            <w:vAlign w:val="center"/>
          </w:tcPr>
          <w:p w14:paraId="1E6EB026">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r>
              <w:rPr>
                <w:rFonts w:hint="eastAsia" w:asciiTheme="minorEastAsia" w:hAnsiTheme="minorEastAsia" w:eastAsiaTheme="minorEastAsia" w:cstheme="minorEastAsia"/>
                <w:b/>
                <w:bCs w:val="0"/>
                <w:color w:val="000000" w:themeColor="text1"/>
                <w:u w:val="none"/>
                <w14:textFill>
                  <w14:solidFill>
                    <w14:schemeClr w14:val="tx1"/>
                  </w14:solidFill>
                </w14:textFill>
              </w:rPr>
              <w:t>参评单位2得分</w:t>
            </w:r>
          </w:p>
        </w:tc>
        <w:tc>
          <w:tcPr>
            <w:tcW w:w="1434" w:type="dxa"/>
            <w:tcBorders>
              <w:top w:val="single" w:color="auto" w:sz="12" w:space="0"/>
              <w:left w:val="single" w:color="auto" w:sz="4" w:space="0"/>
              <w:bottom w:val="nil"/>
              <w:right w:val="nil"/>
            </w:tcBorders>
            <w:noWrap w:val="0"/>
            <w:tcMar>
              <w:top w:w="60" w:type="dxa"/>
              <w:left w:w="120" w:type="dxa"/>
              <w:bottom w:w="30" w:type="dxa"/>
              <w:right w:w="120" w:type="dxa"/>
            </w:tcMar>
            <w:vAlign w:val="center"/>
          </w:tcPr>
          <w:p w14:paraId="7EE4D994">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r>
              <w:rPr>
                <w:rFonts w:hint="eastAsia" w:asciiTheme="minorEastAsia" w:hAnsiTheme="minorEastAsia" w:eastAsiaTheme="minorEastAsia" w:cstheme="minorEastAsia"/>
                <w:b/>
                <w:bCs w:val="0"/>
                <w:color w:val="000000" w:themeColor="text1"/>
                <w:u w:val="none"/>
                <w14:textFill>
                  <w14:solidFill>
                    <w14:schemeClr w14:val="tx1"/>
                  </w14:solidFill>
                </w14:textFill>
              </w:rPr>
              <w:t>参评单位3得分</w:t>
            </w:r>
          </w:p>
        </w:tc>
        <w:tc>
          <w:tcPr>
            <w:tcW w:w="2334" w:type="dxa"/>
            <w:tcBorders>
              <w:top w:val="single" w:color="auto" w:sz="12" w:space="0"/>
              <w:left w:val="single" w:color="auto" w:sz="4" w:space="0"/>
              <w:bottom w:val="nil"/>
              <w:right w:val="single" w:color="auto" w:sz="12" w:space="0"/>
            </w:tcBorders>
            <w:noWrap w:val="0"/>
            <w:tcMar>
              <w:top w:w="60" w:type="dxa"/>
              <w:left w:w="120" w:type="dxa"/>
              <w:bottom w:w="30" w:type="dxa"/>
              <w:right w:w="120" w:type="dxa"/>
            </w:tcMar>
            <w:vAlign w:val="center"/>
          </w:tcPr>
          <w:p w14:paraId="4BF4BA13">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r>
              <w:rPr>
                <w:rFonts w:hint="eastAsia" w:asciiTheme="minorEastAsia" w:hAnsiTheme="minorEastAsia" w:eastAsiaTheme="minorEastAsia" w:cstheme="minorEastAsia"/>
                <w:b/>
                <w:bCs w:val="0"/>
                <w:color w:val="000000" w:themeColor="text1"/>
                <w:u w:val="none"/>
                <w14:textFill>
                  <w14:solidFill>
                    <w14:schemeClr w14:val="tx1"/>
                  </w14:solidFill>
                </w14:textFill>
              </w:rPr>
              <w:t>备注</w:t>
            </w:r>
          </w:p>
        </w:tc>
      </w:tr>
      <w:tr w14:paraId="0A23433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1539" w:hRule="atLeast"/>
          <w:jc w:val="center"/>
        </w:trPr>
        <w:tc>
          <w:tcPr>
            <w:tcW w:w="2035" w:type="dxa"/>
            <w:tcBorders>
              <w:top w:val="single" w:color="auto" w:sz="4" w:space="0"/>
              <w:left w:val="single" w:color="auto" w:sz="12" w:space="0"/>
              <w:bottom w:val="nil"/>
              <w:right w:val="nil"/>
            </w:tcBorders>
            <w:noWrap w:val="0"/>
            <w:tcMar>
              <w:top w:w="60" w:type="dxa"/>
              <w:left w:w="120" w:type="dxa"/>
              <w:bottom w:w="30" w:type="dxa"/>
              <w:right w:w="120" w:type="dxa"/>
            </w:tcMar>
            <w:vAlign w:val="center"/>
          </w:tcPr>
          <w:p w14:paraId="4CFB89E3">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分成报价</w:t>
            </w:r>
          </w:p>
          <w:p w14:paraId="47CC2292">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方案</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6423FF7">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50</w:t>
            </w: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826D7B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7FE95C4">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030DAD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2334" w:type="dxa"/>
            <w:tcBorders>
              <w:top w:val="single" w:color="auto" w:sz="4" w:space="0"/>
              <w:left w:val="single" w:color="auto" w:sz="4" w:space="0"/>
              <w:bottom w:val="nil"/>
              <w:right w:val="single" w:color="auto" w:sz="12" w:space="0"/>
            </w:tcBorders>
            <w:noWrap w:val="0"/>
            <w:tcMar>
              <w:top w:w="60" w:type="dxa"/>
              <w:left w:w="120" w:type="dxa"/>
              <w:bottom w:w="30" w:type="dxa"/>
              <w:right w:w="120" w:type="dxa"/>
            </w:tcMar>
            <w:vAlign w:val="center"/>
          </w:tcPr>
          <w:p w14:paraId="58ECC13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报价密封独立评审</w:t>
            </w:r>
          </w:p>
        </w:tc>
      </w:tr>
      <w:tr w14:paraId="19CB9CE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1467" w:hRule="atLeast"/>
          <w:jc w:val="center"/>
        </w:trPr>
        <w:tc>
          <w:tcPr>
            <w:tcW w:w="2035" w:type="dxa"/>
            <w:tcBorders>
              <w:top w:val="single" w:color="auto" w:sz="4" w:space="0"/>
              <w:left w:val="single" w:color="auto" w:sz="12" w:space="0"/>
              <w:bottom w:val="nil"/>
              <w:right w:val="nil"/>
            </w:tcBorders>
            <w:noWrap w:val="0"/>
            <w:tcMar>
              <w:top w:w="60" w:type="dxa"/>
              <w:left w:w="120" w:type="dxa"/>
              <w:bottom w:w="30" w:type="dxa"/>
              <w:right w:w="120" w:type="dxa"/>
            </w:tcMar>
            <w:vAlign w:val="center"/>
          </w:tcPr>
          <w:p w14:paraId="0C13CF6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运营规划</w:t>
            </w:r>
          </w:p>
          <w:p w14:paraId="27CAF78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方案</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2ED1B3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25</w:t>
            </w: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AC5A834">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4A16C72">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D94FE64">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2334" w:type="dxa"/>
            <w:tcBorders>
              <w:top w:val="single" w:color="auto" w:sz="4" w:space="0"/>
              <w:left w:val="single" w:color="auto" w:sz="4" w:space="0"/>
              <w:bottom w:val="nil"/>
              <w:right w:val="single" w:color="auto" w:sz="12" w:space="0"/>
            </w:tcBorders>
            <w:noWrap w:val="0"/>
            <w:tcMar>
              <w:top w:w="60" w:type="dxa"/>
              <w:left w:w="120" w:type="dxa"/>
              <w:bottom w:w="30" w:type="dxa"/>
              <w:right w:w="120" w:type="dxa"/>
            </w:tcMar>
            <w:vAlign w:val="center"/>
          </w:tcPr>
          <w:p w14:paraId="34B9A9CC">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查阅书面方案、业态规划</w:t>
            </w:r>
          </w:p>
        </w:tc>
      </w:tr>
      <w:tr w14:paraId="459AAB7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1449" w:hRule="atLeast"/>
          <w:jc w:val="center"/>
        </w:trPr>
        <w:tc>
          <w:tcPr>
            <w:tcW w:w="2035" w:type="dxa"/>
            <w:tcBorders>
              <w:top w:val="single" w:color="auto" w:sz="4" w:space="0"/>
              <w:left w:val="single" w:color="auto" w:sz="12" w:space="0"/>
              <w:bottom w:val="nil"/>
              <w:right w:val="nil"/>
            </w:tcBorders>
            <w:noWrap w:val="0"/>
            <w:tcMar>
              <w:top w:w="60" w:type="dxa"/>
              <w:left w:w="120" w:type="dxa"/>
              <w:bottom w:w="30" w:type="dxa"/>
              <w:right w:w="120" w:type="dxa"/>
            </w:tcMar>
            <w:vAlign w:val="center"/>
          </w:tcPr>
          <w:p w14:paraId="482B874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安全管理</w:t>
            </w:r>
          </w:p>
          <w:p w14:paraId="446528CC">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体系</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CB8AC0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15</w:t>
            </w: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986B14E">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525CC7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653B93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2334" w:type="dxa"/>
            <w:tcBorders>
              <w:top w:val="single" w:color="auto" w:sz="4" w:space="0"/>
              <w:left w:val="single" w:color="auto" w:sz="4" w:space="0"/>
              <w:bottom w:val="nil"/>
              <w:right w:val="single" w:color="auto" w:sz="12" w:space="0"/>
            </w:tcBorders>
            <w:noWrap w:val="0"/>
            <w:tcMar>
              <w:top w:w="60" w:type="dxa"/>
              <w:left w:w="120" w:type="dxa"/>
              <w:bottom w:w="30" w:type="dxa"/>
              <w:right w:w="120" w:type="dxa"/>
            </w:tcMar>
            <w:vAlign w:val="center"/>
          </w:tcPr>
          <w:p w14:paraId="31205244">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核查应急预案、台账</w:t>
            </w:r>
          </w:p>
        </w:tc>
      </w:tr>
      <w:tr w14:paraId="785F077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1467" w:hRule="atLeast"/>
          <w:jc w:val="center"/>
        </w:trPr>
        <w:tc>
          <w:tcPr>
            <w:tcW w:w="2035" w:type="dxa"/>
            <w:tcBorders>
              <w:top w:val="single" w:color="auto" w:sz="4" w:space="0"/>
              <w:left w:val="single" w:color="auto" w:sz="12" w:space="0"/>
              <w:bottom w:val="nil"/>
              <w:right w:val="nil"/>
            </w:tcBorders>
            <w:noWrap w:val="0"/>
            <w:tcMar>
              <w:top w:w="60" w:type="dxa"/>
              <w:left w:w="120" w:type="dxa"/>
              <w:bottom w:w="30" w:type="dxa"/>
              <w:right w:w="120" w:type="dxa"/>
            </w:tcMar>
            <w:vAlign w:val="center"/>
          </w:tcPr>
          <w:p w14:paraId="3FA8BE9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企业资质</w:t>
            </w:r>
          </w:p>
          <w:p w14:paraId="4364C18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业绩</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2E48992">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10</w:t>
            </w: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B4A03E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565D5DF">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369B3A3">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p>
        </w:tc>
        <w:tc>
          <w:tcPr>
            <w:tcW w:w="2334" w:type="dxa"/>
            <w:tcBorders>
              <w:top w:val="single" w:color="auto" w:sz="4" w:space="0"/>
              <w:left w:val="single" w:color="auto" w:sz="4" w:space="0"/>
              <w:bottom w:val="nil"/>
              <w:right w:val="single" w:color="auto" w:sz="12" w:space="0"/>
            </w:tcBorders>
            <w:noWrap w:val="0"/>
            <w:tcMar>
              <w:top w:w="60" w:type="dxa"/>
              <w:left w:w="120" w:type="dxa"/>
              <w:bottom w:w="30" w:type="dxa"/>
              <w:right w:w="120" w:type="dxa"/>
            </w:tcMar>
            <w:vAlign w:val="center"/>
          </w:tcPr>
          <w:p w14:paraId="6930E295">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val="0"/>
                <w:bCs w:val="0"/>
                <w:color w:val="000000" w:themeColor="text1"/>
                <w:u w:val="none"/>
                <w14:textFill>
                  <w14:solidFill>
                    <w14:schemeClr w14:val="tx1"/>
                  </w14:solidFill>
                </w14:textFill>
              </w:rPr>
            </w:pPr>
            <w:r>
              <w:rPr>
                <w:rFonts w:hint="eastAsia" w:asciiTheme="minorEastAsia" w:hAnsiTheme="minorEastAsia" w:eastAsiaTheme="minorEastAsia" w:cstheme="minorEastAsia"/>
                <w:b w:val="0"/>
                <w:bCs w:val="0"/>
                <w:color w:val="000000" w:themeColor="text1"/>
                <w:u w:val="none"/>
                <w14:textFill>
                  <w14:solidFill>
                    <w14:schemeClr w14:val="tx1"/>
                  </w14:solidFill>
                </w14:textFill>
              </w:rPr>
              <w:t>核查资质、合同原件</w:t>
            </w:r>
          </w:p>
        </w:tc>
      </w:tr>
      <w:tr w14:paraId="4086FB1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721" w:hRule="atLeast"/>
          <w:jc w:val="center"/>
        </w:trPr>
        <w:tc>
          <w:tcPr>
            <w:tcW w:w="2035" w:type="dxa"/>
            <w:tcBorders>
              <w:top w:val="single" w:color="auto" w:sz="4" w:space="0"/>
              <w:left w:val="single" w:color="auto" w:sz="12" w:space="0"/>
              <w:bottom w:val="single" w:color="auto" w:sz="12" w:space="0"/>
              <w:right w:val="nil"/>
            </w:tcBorders>
            <w:noWrap w:val="0"/>
            <w:tcMar>
              <w:top w:w="60" w:type="dxa"/>
              <w:left w:w="120" w:type="dxa"/>
              <w:bottom w:w="30" w:type="dxa"/>
              <w:right w:w="120" w:type="dxa"/>
            </w:tcMar>
            <w:vAlign w:val="center"/>
          </w:tcPr>
          <w:p w14:paraId="3FB812AA">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r>
              <w:rPr>
                <w:rFonts w:hint="eastAsia" w:asciiTheme="minorEastAsia" w:hAnsiTheme="minorEastAsia" w:eastAsiaTheme="minorEastAsia" w:cstheme="minorEastAsia"/>
                <w:b/>
                <w:bCs w:val="0"/>
                <w:color w:val="000000" w:themeColor="text1"/>
                <w:u w:val="none"/>
                <w14:textFill>
                  <w14:solidFill>
                    <w14:schemeClr w14:val="tx1"/>
                  </w14:solidFill>
                </w14:textFill>
              </w:rPr>
              <w:t>总分</w:t>
            </w:r>
          </w:p>
        </w:tc>
        <w:tc>
          <w:tcPr>
            <w:tcW w:w="794" w:type="dxa"/>
            <w:tcBorders>
              <w:top w:val="single" w:color="auto" w:sz="4" w:space="0"/>
              <w:left w:val="single" w:color="auto" w:sz="4" w:space="0"/>
              <w:bottom w:val="single" w:color="auto" w:sz="12" w:space="0"/>
              <w:right w:val="nil"/>
            </w:tcBorders>
            <w:noWrap w:val="0"/>
            <w:tcMar>
              <w:top w:w="60" w:type="dxa"/>
              <w:left w:w="120" w:type="dxa"/>
              <w:bottom w:w="30" w:type="dxa"/>
              <w:right w:w="120" w:type="dxa"/>
            </w:tcMar>
            <w:vAlign w:val="center"/>
          </w:tcPr>
          <w:p w14:paraId="6A45C958">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r>
              <w:rPr>
                <w:rFonts w:hint="eastAsia" w:asciiTheme="minorEastAsia" w:hAnsiTheme="minorEastAsia" w:eastAsiaTheme="minorEastAsia" w:cstheme="minorEastAsia"/>
                <w:b/>
                <w:bCs w:val="0"/>
                <w:color w:val="000000" w:themeColor="text1"/>
                <w:u w:val="none"/>
                <w14:textFill>
                  <w14:solidFill>
                    <w14:schemeClr w14:val="tx1"/>
                  </w14:solidFill>
                </w14:textFill>
              </w:rPr>
              <w:t>100</w:t>
            </w:r>
          </w:p>
        </w:tc>
        <w:tc>
          <w:tcPr>
            <w:tcW w:w="1434" w:type="dxa"/>
            <w:tcBorders>
              <w:top w:val="single" w:color="auto" w:sz="4" w:space="0"/>
              <w:left w:val="single" w:color="auto" w:sz="4" w:space="0"/>
              <w:bottom w:val="single" w:color="auto" w:sz="12" w:space="0"/>
              <w:right w:val="nil"/>
            </w:tcBorders>
            <w:noWrap w:val="0"/>
            <w:tcMar>
              <w:top w:w="60" w:type="dxa"/>
              <w:left w:w="120" w:type="dxa"/>
              <w:bottom w:w="30" w:type="dxa"/>
              <w:right w:w="120" w:type="dxa"/>
            </w:tcMar>
            <w:vAlign w:val="center"/>
          </w:tcPr>
          <w:p w14:paraId="43C2A747">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single" w:color="auto" w:sz="12" w:space="0"/>
              <w:right w:val="nil"/>
            </w:tcBorders>
            <w:noWrap w:val="0"/>
            <w:tcMar>
              <w:top w:w="60" w:type="dxa"/>
              <w:left w:w="120" w:type="dxa"/>
              <w:bottom w:w="30" w:type="dxa"/>
              <w:right w:w="120" w:type="dxa"/>
            </w:tcMar>
            <w:vAlign w:val="center"/>
          </w:tcPr>
          <w:p w14:paraId="37FD6DCB">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p>
        </w:tc>
        <w:tc>
          <w:tcPr>
            <w:tcW w:w="1434" w:type="dxa"/>
            <w:tcBorders>
              <w:top w:val="single" w:color="auto" w:sz="4" w:space="0"/>
              <w:left w:val="single" w:color="auto" w:sz="4" w:space="0"/>
              <w:bottom w:val="single" w:color="auto" w:sz="12" w:space="0"/>
              <w:right w:val="nil"/>
            </w:tcBorders>
            <w:noWrap w:val="0"/>
            <w:tcMar>
              <w:top w:w="60" w:type="dxa"/>
              <w:left w:w="120" w:type="dxa"/>
              <w:bottom w:w="30" w:type="dxa"/>
              <w:right w:w="120" w:type="dxa"/>
            </w:tcMar>
            <w:vAlign w:val="center"/>
          </w:tcPr>
          <w:p w14:paraId="266D4EC1">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p>
        </w:tc>
        <w:tc>
          <w:tcPr>
            <w:tcW w:w="2334" w:type="dxa"/>
            <w:tcBorders>
              <w:top w:val="single" w:color="auto" w:sz="4" w:space="0"/>
              <w:left w:val="single" w:color="auto" w:sz="4" w:space="0"/>
              <w:bottom w:val="single" w:color="auto" w:sz="12" w:space="0"/>
              <w:right w:val="single" w:color="auto" w:sz="12" w:space="0"/>
            </w:tcBorders>
            <w:noWrap w:val="0"/>
            <w:tcMar>
              <w:top w:w="60" w:type="dxa"/>
              <w:left w:w="120" w:type="dxa"/>
              <w:bottom w:w="30" w:type="dxa"/>
              <w:right w:w="120" w:type="dxa"/>
            </w:tcMar>
            <w:vAlign w:val="center"/>
          </w:tcPr>
          <w:p w14:paraId="20224EC5">
            <w:pPr>
              <w:keepNext w:val="0"/>
              <w:keepLines w:val="0"/>
              <w:pageBreakBefore w:val="0"/>
              <w:widowControl w:val="0"/>
              <w:kinsoku/>
              <w:wordWrap/>
              <w:overflowPunct/>
              <w:topLinePunct w:val="0"/>
              <w:autoSpaceDE/>
              <w:autoSpaceDN/>
              <w:bidi w:val="0"/>
              <w:adjustRightInd/>
              <w:snapToGrid w:val="0"/>
              <w:ind w:left="0" w:leftChars="0" w:right="0" w:rightChars="0" w:firstLine="0" w:firstLineChars="0"/>
              <w:jc w:val="both"/>
              <w:textAlignment w:val="auto"/>
              <w:rPr>
                <w:rFonts w:hint="eastAsia" w:asciiTheme="minorEastAsia" w:hAnsiTheme="minorEastAsia" w:eastAsiaTheme="minorEastAsia" w:cstheme="minorEastAsia"/>
                <w:b/>
                <w:bCs w:val="0"/>
                <w:color w:val="000000" w:themeColor="text1"/>
                <w:u w:val="none"/>
                <w14:textFill>
                  <w14:solidFill>
                    <w14:schemeClr w14:val="tx1"/>
                  </w14:solidFill>
                </w14:textFill>
              </w:rPr>
            </w:pPr>
          </w:p>
        </w:tc>
      </w:tr>
    </w:tbl>
    <w:p w14:paraId="64E3D18D">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评审人员签字：__________ 日期：__________</w:t>
      </w:r>
      <w:bookmarkStart w:id="45" w:name="heading_51"/>
    </w:p>
    <w:p w14:paraId="3CBDE892">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rPr>
        <w:t>附件2</w:t>
      </w:r>
    </w:p>
    <w:p w14:paraId="44C6DC8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履约保证金、食品安全保证金管理细则</w:t>
      </w:r>
      <w:bookmarkEnd w:id="45"/>
    </w:p>
    <w:p w14:paraId="40A7210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353B620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保证金缴纳标准：①履约保证金：10000元；②食品安全专项保证金：10000元；合计20000元，中标单位收到中标通知书3个工作日内全额转账至甲方对公账户，未按时足额缴纳视为自动放弃中标资格。</w:t>
      </w:r>
    </w:p>
    <w:p w14:paraId="751A35E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保证金扣除情形：出现私自收款、重大安全事故、未落实一摊两品业态、拒不整改、到期拒不撤场、人为损毁场地、造成重大投诉舆情等行为，甲方可全额扣除保证金；出现轻微违规行为，按对应比例扣除保证金。</w:t>
      </w:r>
    </w:p>
    <w:p w14:paraId="35B7ACB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退还规则：合作期满，乙方完成无条件撤场、场地原貌复原、结清全部水电费用，经营期内无有效投诉、无安全事故、无任何违约行为，甲方在5个工作日内无息全额退还保证金；存在违规扣款的，扣除对应费用后无息退还剩余金额。</w:t>
      </w:r>
    </w:p>
    <w:p w14:paraId="18C341B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专户管理：甲方财务设立专属台账单独登记、专款专用，全程接受公司内部审计监督，确保合规透明。</w:t>
      </w:r>
    </w:p>
    <w:p w14:paraId="2B24BDD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5. 甲方对公账户：</w:t>
      </w:r>
      <w:bookmarkStart w:id="46" w:name="heading_52"/>
    </w:p>
    <w:p w14:paraId="652DE3FF">
      <w:pPr>
        <w:ind w:firstLine="632"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公司名称：彭水县摩围山旅游开发有限公司</w:t>
      </w:r>
    </w:p>
    <w:p w14:paraId="6F61B5B3">
      <w:pPr>
        <w:ind w:firstLine="632" w:firstLineChars="200"/>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开户行：中国邮政储蓄银行股份有限公司彭水县绸缎</w:t>
      </w:r>
      <w:r>
        <w:rPr>
          <w:rFonts w:hint="eastAsia" w:asciiTheme="minorEastAsia" w:hAnsiTheme="minorEastAsia" w:eastAsiaTheme="minorEastAsia" w:cstheme="minorEastAsia"/>
          <w:lang w:val="en-US" w:eastAsia="zh-CN"/>
        </w:rPr>
        <w:t>街支行</w:t>
      </w:r>
    </w:p>
    <w:p w14:paraId="1D494605">
      <w:pPr>
        <w:ind w:firstLine="632"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开户账号：9500</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2501</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3000</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4480</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77</w:t>
      </w:r>
    </w:p>
    <w:p w14:paraId="4F225AED">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附件3</w:t>
      </w:r>
    </w:p>
    <w:p w14:paraId="3B7267EA">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蚩尤九黎城集市经营安全责任书</w:t>
      </w:r>
      <w:bookmarkEnd w:id="46"/>
    </w:p>
    <w:p w14:paraId="579507E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15E0A48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甲方：彭水县摩围山旅游开发有限公司</w:t>
      </w:r>
    </w:p>
    <w:p w14:paraId="1C354FB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乙方：________（合作运营单位）</w:t>
      </w:r>
    </w:p>
    <w:p w14:paraId="459432D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为严格落实安全生产主体责任，规范集市经营管理，防范化解各类安全风险，乙方自愿签订本责任书，郑重作出如下承诺：</w:t>
      </w:r>
    </w:p>
    <w:p w14:paraId="653F295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乙方为集市经营范围内食品安全、消防安全、从业人员安全、游客人身财产安全的第一责任主体，全权承担所有经济赔偿、行政处罚、民事及刑事责任。</w:t>
      </w:r>
    </w:p>
    <w:p w14:paraId="55394D4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严格执行食品留样、健康证持证上岗、食材溯源索证制度，严禁售卖三无、过期、变质食品，定期开展食品安全自查，建立完整台账。</w:t>
      </w:r>
    </w:p>
    <w:p w14:paraId="55EEC08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严格落实一摊两品业态标准，规范经营秩序，杜绝占道经营、超范围经营、同质化经营，自觉维护景区文旅商业形象。</w:t>
      </w:r>
    </w:p>
    <w:p w14:paraId="3A5A710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规范用电、用火、用气操作，足额配齐消防器材，落实每日防火巡查、闭店安全核查制度，明火经营区域严格做好防火隔离措施。</w:t>
      </w:r>
    </w:p>
    <w:p w14:paraId="7C003CD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 若发生安全事故、游客纠纷、突发事件，乙方需第一时间关停经营区域、救助受伤人员、上报甲方，严禁隐瞒、迟报、漏报、瞒报。</w:t>
      </w:r>
    </w:p>
    <w:p w14:paraId="78C8E26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 若乙方违反上述承诺，引发违规问题、安全事故、负面舆情，甲方有权立即解除合作、没收全部保证金，因乙方违规造成的景区声誉损失、经济赔偿、行政处罚全部由乙方全额承担。</w:t>
      </w:r>
    </w:p>
    <w:p w14:paraId="085828D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乙方盖章：__________ 负责人签字：__________</w:t>
      </w:r>
    </w:p>
    <w:p w14:paraId="289AD172">
      <w:pPr>
        <w:keepNext w:val="0"/>
        <w:keepLines w:val="0"/>
        <w:pageBreakBefore w:val="0"/>
        <w:widowControl w:val="0"/>
        <w:kinsoku/>
        <w:wordWrap/>
        <w:overflowPunct/>
        <w:topLinePunct w:val="0"/>
        <w:autoSpaceDE/>
        <w:autoSpaceDN/>
        <w:bidi w:val="0"/>
        <w:adjustRightInd/>
        <w:snapToGrid/>
        <w:ind w:firstLine="632" w:firstLineChars="200"/>
        <w:jc w:val="both"/>
        <w:textAlignment w:val="auto"/>
        <w:rPr>
          <w:rFonts w:hint="eastAsia" w:asciiTheme="minorEastAsia" w:hAnsiTheme="minorEastAsia" w:eastAsiaTheme="minorEastAsia" w:cstheme="minorEastAsia"/>
        </w:rPr>
      </w:pPr>
    </w:p>
    <w:p w14:paraId="29BC685E">
      <w:pPr>
        <w:keepNext w:val="0"/>
        <w:keepLines w:val="0"/>
        <w:pageBreakBefore w:val="0"/>
        <w:widowControl w:val="0"/>
        <w:kinsoku/>
        <w:wordWrap/>
        <w:overflowPunct/>
        <w:topLinePunct w:val="0"/>
        <w:autoSpaceDE/>
        <w:autoSpaceDN/>
        <w:bidi w:val="0"/>
        <w:adjustRightInd/>
        <w:snapToGrid/>
        <w:ind w:firstLine="632"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签订日期：2026年</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日</w:t>
      </w:r>
    </w:p>
    <w:p w14:paraId="7B80AE7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47" w:name="heading_53"/>
    </w:p>
    <w:p w14:paraId="5E8B1B4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4F77BE8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1D8911B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32C9B4E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5B38F79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08FABBD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094ABBE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269F13B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1FA202C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6291FCE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39E0020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23F9A86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1A23409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6B07E51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5AC24A4F">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p>
    <w:p w14:paraId="77E1C393">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附件4</w:t>
      </w:r>
    </w:p>
    <w:p w14:paraId="0AFB0A86">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报价函</w:t>
      </w:r>
      <w:bookmarkEnd w:id="47"/>
    </w:p>
    <w:p w14:paraId="5EAFE4F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1F7BB370">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致：彭水县摩围山旅游开发有限公司商业管理部</w:t>
      </w:r>
    </w:p>
    <w:p w14:paraId="55A5452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本单位已完整研读本次双节「九黎月市」集市公开招商全部文件、业态管控标准、市场化竞价规则、安全管理规范，充分知晓全部合作条款与履约要求，自愿参与本次公开招商遴选，郑重作出如下承诺：</w:t>
      </w:r>
    </w:p>
    <w:p w14:paraId="0C7E948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我方自愿报价营业额分成比例：______%（不低于5%），完全认可并遵守无固定保底、统一收银、据实结算的市场化合作模式。</w:t>
      </w:r>
    </w:p>
    <w:p w14:paraId="4692A068">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我方承诺严格落地一摊两品核心业态要求，深耕彭水渝味360碗本土特色美食，规范网红品类经营，坚决杜绝同质化、超范围、违规经营。</w:t>
      </w:r>
    </w:p>
    <w:p w14:paraId="13E0F73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我方完全服从甲方统一收银、保证金管控、安全管理、活动配合、业态整改、秩序管控等全部管理要求，若成功中标，将严格履约、合规运营、诚信经营。</w:t>
      </w:r>
    </w:p>
    <w:p w14:paraId="1E7E5F6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单位名称（盖章）：__________</w:t>
      </w:r>
    </w:p>
    <w:p w14:paraId="68DC28D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法定代表人签字：__________</w:t>
      </w:r>
    </w:p>
    <w:p w14:paraId="74F1E0EE">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日期：2026年 月 日</w:t>
      </w:r>
    </w:p>
    <w:p w14:paraId="129680A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48" w:name="heading_54"/>
    </w:p>
    <w:p w14:paraId="34CBF14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1E556B3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配套报送材料清单</w:t>
      </w:r>
      <w:bookmarkEnd w:id="48"/>
    </w:p>
    <w:p w14:paraId="7DAD1C3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营业执照、食品经营许可证复印件（加盖企业公章）；</w:t>
      </w:r>
    </w:p>
    <w:p w14:paraId="72F9CF4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法人身份证、法定代表人授权委托书、经办人身份证复印件；</w:t>
      </w:r>
    </w:p>
    <w:p w14:paraId="6A74AF1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同类景区双节集市、夜市运营合作合同、现场实景、运营数据等佐证材料；</w:t>
      </w:r>
    </w:p>
    <w:p w14:paraId="6C0A6FF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完整运营方案、一摊两品业态布局图、详细品类清单；</w:t>
      </w:r>
    </w:p>
    <w:p w14:paraId="2660FAB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 食品安全、消防用电、极端天气、突发事件应急全套预案及管理制度。</w:t>
      </w:r>
    </w:p>
    <w:p w14:paraId="27FCC1D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49" w:name="heading_55"/>
    </w:p>
    <w:p w14:paraId="6D496E3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3A266F6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0557135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3D77B835">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0D95618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21E6945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133EEC5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3BF738C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57E58FE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42F8B95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229FD78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41075C98">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p>
    <w:p w14:paraId="048805C2">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附件5</w:t>
      </w:r>
    </w:p>
    <w:p w14:paraId="5E9A463D">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sz w:val="44"/>
          <w:szCs w:val="44"/>
        </w:rPr>
      </w:pPr>
    </w:p>
    <w:p w14:paraId="335D8FDF">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公开招商遴选内控标准化操作流程</w:t>
      </w:r>
      <w:bookmarkEnd w:id="49"/>
    </w:p>
    <w:p w14:paraId="48917980">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p w14:paraId="25C8B756">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完成项目内部立项审批，形成会议纪要，开展项目可行性论证与风控评估，定稿全套招商文件；</w:t>
      </w:r>
    </w:p>
    <w:p w14:paraId="2C065899">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通过官方合规渠道发布公开招商公告，面向社会开放报名，明确报名资质、资料清单、截止时限；</w:t>
      </w:r>
    </w:p>
    <w:p w14:paraId="5CD2EE6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接收报名单位密封报送资料，建立完整报名及资料登记台账，开展前置资格预审，剔除资质不符、资料无效单位；</w:t>
      </w:r>
    </w:p>
    <w:p w14:paraId="6095222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组建专业评审小组，全体评审人员签署评审回避承诺书，全程纪检、内控监督，保障评审合规公正；</w:t>
      </w:r>
    </w:p>
    <w:p w14:paraId="2783F20A">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 集中开展资料拆封、独立打分、分数汇总排序，出具正式《公开招商评审汇总报告》，确定拟中标单位；</w:t>
      </w:r>
    </w:p>
    <w:p w14:paraId="79AD6011">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 对外公示拟中标结果，公示期不少于3个工作日，拍摄留存公示影像、网页截图等归档资料；</w:t>
      </w:r>
    </w:p>
    <w:p w14:paraId="4386EFF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7. 向参选单位发放中标通知书、未中标单位告知函；</w:t>
      </w:r>
    </w:p>
    <w:p w14:paraId="1969A9E7">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8. 收取中标单位全额保证金，留存银行转账凭证并归档；</w:t>
      </w:r>
    </w:p>
    <w:p w14:paraId="278804E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9. 签订正式合作协议及安全责任书，全套资料装订归档，保存期限不少于5年。</w:t>
      </w:r>
    </w:p>
    <w:p w14:paraId="631A454C">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bookmarkStart w:id="50" w:name="heading_56"/>
    </w:p>
    <w:p w14:paraId="53004CF9">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p>
    <w:p w14:paraId="16523CEF">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附件6 </w:t>
      </w:r>
      <w:bookmarkEnd w:id="50"/>
    </w:p>
    <w:p w14:paraId="2824C63B">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sz w:val="44"/>
          <w:szCs w:val="44"/>
        </w:rPr>
      </w:pPr>
    </w:p>
    <w:p w14:paraId="1EF30D2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评审回避承诺书</w:t>
      </w:r>
    </w:p>
    <w:p w14:paraId="1B459D0A">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本人________，作为2026年蚩尤九黎城中秋·国庆双节「九黎月市」集市公开招商遴选项目评审小组成员，已认真学习本次公开招商比选全部规则、纪律要求，现就评审工作郑重承诺如下：</w:t>
      </w:r>
    </w:p>
    <w:p w14:paraId="13B1B61A">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本人与本次参与公开招商遴选的所有报名单位不存在夫妻、直系血亲、三代以内旁系血亲以及近姻亲关系；不存在在参选单位参股、任职、顾问等利害关系。</w:t>
      </w:r>
    </w:p>
    <w:p w14:paraId="48401ADA">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本人未与参选单位相关人员私下接触、未收受任何礼品礼金、宴请及其他利益，不存在任何可能影响评审公正性的情形。</w:t>
      </w:r>
    </w:p>
    <w:p w14:paraId="51ABF67B">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评审过程严格遵循公平、公正、公开原则，严格按照评分细则独立打分，不泄露评审细节、各家报价、未公开评审结果，不干预、诱导其他评审人员打分。</w:t>
      </w:r>
    </w:p>
    <w:p w14:paraId="7FBDA3A7">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若本人存在应当回避而未主动回避情形，自愿承担相应纪律责任；如评审期间发现存在利害关系，本人将第一时间主动申请退出评审小组。</w:t>
      </w:r>
    </w:p>
    <w:p w14:paraId="6E6ECFBF">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评审人签字：______________</w:t>
      </w:r>
    </w:p>
    <w:p w14:paraId="28D54A1A">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部门：____________________</w:t>
      </w:r>
    </w:p>
    <w:p w14:paraId="08BA8D39">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日期：2026年____月____日</w:t>
      </w:r>
    </w:p>
    <w:p w14:paraId="4FB6F9D6">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备注：每一位评审人员单独签署1份，随评审打分表一并归档，保存期限不少于5年。</w:t>
      </w:r>
      <w:bookmarkStart w:id="51" w:name="heading_57"/>
    </w:p>
    <w:p w14:paraId="2E300CBA">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附件7 </w:t>
      </w:r>
      <w:bookmarkEnd w:id="51"/>
    </w:p>
    <w:p w14:paraId="4A82DE2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中标通知书</w:t>
      </w:r>
    </w:p>
    <w:p w14:paraId="4C9D30E7">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EastAsia"/>
        </w:rPr>
      </w:pPr>
    </w:p>
    <w:p w14:paraId="10BEB6B7">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__________有限公司：</w:t>
      </w:r>
    </w:p>
    <w:p w14:paraId="4B451D85">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你单位递交的《2026年蚩尤九黎城中秋·国庆双节「九黎月市」集市招商》公开招商遴选参选文件已收悉。经项目评审小组综合评审打分、内部公示无异议，确定贵单位为本项目中标合作单位。</w:t>
      </w:r>
    </w:p>
    <w:p w14:paraId="0EB0BCD4">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现将有关事项通知如下：</w:t>
      </w:r>
    </w:p>
    <w:p w14:paraId="421B0497">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 贵单位中标营业额分成报价为：______%。</w:t>
      </w:r>
    </w:p>
    <w:p w14:paraId="08350D13">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 请贵单位于收到本通知书3个工作日内，将履约保证金人民币10000元、食品安全专项保证金人民币10000元，合计20000元足额转账至我司对公账户，逾期未足额缴纳视为自动放弃中标资格。</w:t>
      </w:r>
    </w:p>
    <w:p w14:paraId="2CF63444">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 保证金到账后，请及时与我司商业管理部联系，开展场地实地踏勘，完成摊位布局确认，并于5个工作日内完成《集市合作经营协议》《安全责任书》签订工作。</w:t>
      </w:r>
    </w:p>
    <w:p w14:paraId="2F4A02B7">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 请抓紧筹备摊位搭建、商户招募、业态筹备、安全预案落实等进场前期工作，严格落实“一摊两品”业态管控、统一收银等全部招商文件要求，按期完成开业筹备。</w:t>
      </w:r>
    </w:p>
    <w:p w14:paraId="325FCCD4">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特此通知。</w:t>
      </w:r>
    </w:p>
    <w:p w14:paraId="3C974767">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发包单位：彭水县摩围山旅游开发有限公司（公章）</w:t>
      </w:r>
    </w:p>
    <w:p w14:paraId="1EAB10F5">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2026年____月____日</w:t>
      </w:r>
    </w:p>
    <w:p w14:paraId="0F75DB7B">
      <w:pPr>
        <w:keepNext w:val="0"/>
        <w:keepLines w:val="0"/>
        <w:pageBreakBefore w:val="0"/>
        <w:widowControl w:val="0"/>
        <w:kinsoku/>
        <w:wordWrap/>
        <w:overflowPunct/>
        <w:topLinePunct w:val="0"/>
        <w:autoSpaceDE/>
        <w:autoSpaceDN/>
        <w:bidi w:val="0"/>
        <w:adjustRightInd/>
        <w:snapToGrid/>
        <w:spacing w:line="520" w:lineRule="exact"/>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联系人：________ 联系电话：____________</w:t>
      </w:r>
      <w:bookmarkStart w:id="52" w:name="heading_58"/>
    </w:p>
    <w:p w14:paraId="07BCFA00">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附件8 </w:t>
      </w:r>
    </w:p>
    <w:bookmarkEnd w:id="52"/>
    <w:p w14:paraId="7B4BAA7A">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未中标单位告知函</w:t>
      </w:r>
    </w:p>
    <w:p w14:paraId="13E943A6">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p>
    <w:p w14:paraId="56BE92EF">
      <w:pPr>
        <w:keepNext w:val="0"/>
        <w:keepLines w:val="0"/>
        <w:pageBreakBefore w:val="0"/>
        <w:widowControl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__________有限公司：</w:t>
      </w:r>
    </w:p>
    <w:p w14:paraId="5C0D940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感谢贵单位积极参与《2026年蚩尤九黎城中秋·国庆双节「九黎月市」集市招商》公开招商遴选工作。</w:t>
      </w:r>
    </w:p>
    <w:p w14:paraId="581B9F73">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本次项目已完成资料审查、集中评审打分、结果公示全套流程，经综合评定，贵单位未被确定为本项目中标合作单位。</w:t>
      </w:r>
    </w:p>
    <w:p w14:paraId="311F3DF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贵单位递交的参选资料我司将作为项目档案留存，不再予以退回。非常感谢贵单位对蚩尤九黎城景区商业项目的支持，期待后续其他项目能够继续开展合作。</w:t>
      </w:r>
    </w:p>
    <w:p w14:paraId="464E7664">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特此函告。</w:t>
      </w:r>
    </w:p>
    <w:p w14:paraId="7BD5D429">
      <w:pPr>
        <w:keepNext w:val="0"/>
        <w:keepLines w:val="0"/>
        <w:pageBreakBefore w:val="0"/>
        <w:widowControl w:val="0"/>
        <w:kinsoku/>
        <w:wordWrap/>
        <w:overflowPunct/>
        <w:topLinePunct w:val="0"/>
        <w:autoSpaceDE/>
        <w:autoSpaceDN/>
        <w:bidi w:val="0"/>
        <w:adjustRightInd/>
        <w:snapToGrid/>
        <w:ind w:firstLine="2595" w:firstLineChars="821"/>
        <w:jc w:val="both"/>
        <w:textAlignment w:val="auto"/>
        <w:rPr>
          <w:rFonts w:hint="eastAsia" w:asciiTheme="minorEastAsia" w:hAnsiTheme="minorEastAsia" w:eastAsiaTheme="minorEastAsia" w:cstheme="minorEastAsia"/>
        </w:rPr>
      </w:pPr>
    </w:p>
    <w:p w14:paraId="1DE78D47">
      <w:pPr>
        <w:keepNext w:val="0"/>
        <w:keepLines w:val="0"/>
        <w:pageBreakBefore w:val="0"/>
        <w:widowControl w:val="0"/>
        <w:kinsoku/>
        <w:wordWrap/>
        <w:overflowPunct/>
        <w:topLinePunct w:val="0"/>
        <w:autoSpaceDE/>
        <w:autoSpaceDN/>
        <w:bidi w:val="0"/>
        <w:adjustRightInd/>
        <w:snapToGrid/>
        <w:ind w:firstLine="2595" w:firstLineChars="821"/>
        <w:jc w:val="both"/>
        <w:textAlignment w:val="auto"/>
        <w:rPr>
          <w:rFonts w:hint="eastAsia" w:asciiTheme="minorEastAsia" w:hAnsiTheme="minorEastAsia" w:eastAsiaTheme="minorEastAsia" w:cstheme="minorEastAsia"/>
        </w:rPr>
      </w:pPr>
    </w:p>
    <w:p w14:paraId="7AE9D2E9">
      <w:pPr>
        <w:keepNext w:val="0"/>
        <w:keepLines w:val="0"/>
        <w:pageBreakBefore w:val="0"/>
        <w:widowControl w:val="0"/>
        <w:kinsoku/>
        <w:wordWrap/>
        <w:overflowPunct/>
        <w:topLinePunct w:val="0"/>
        <w:autoSpaceDE/>
        <w:autoSpaceDN/>
        <w:bidi w:val="0"/>
        <w:adjustRightInd/>
        <w:snapToGrid/>
        <w:ind w:firstLine="2595" w:firstLineChars="821"/>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彭水县摩围山旅游开发有限公司（公章）</w:t>
      </w:r>
    </w:p>
    <w:p w14:paraId="216E8316">
      <w:pPr>
        <w:keepNext w:val="0"/>
        <w:keepLines w:val="0"/>
        <w:pageBreakBefore w:val="0"/>
        <w:widowControl w:val="0"/>
        <w:kinsoku/>
        <w:wordWrap/>
        <w:overflowPunct/>
        <w:topLinePunct w:val="0"/>
        <w:autoSpaceDE/>
        <w:autoSpaceDN/>
        <w:bidi w:val="0"/>
        <w:adjustRightInd/>
        <w:snapToGrid/>
        <w:ind w:firstLine="3859" w:firstLineChars="1221"/>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2026年____月____日</w:t>
      </w:r>
    </w:p>
    <w:p w14:paraId="3C193732">
      <w:pPr>
        <w:keepNext w:val="0"/>
        <w:keepLines w:val="0"/>
        <w:pageBreakBefore w:val="0"/>
        <w:widowControl w:val="0"/>
        <w:kinsoku/>
        <w:wordWrap/>
        <w:overflowPunct/>
        <w:topLinePunct w:val="0"/>
        <w:autoSpaceDE/>
        <w:autoSpaceDN/>
        <w:bidi w:val="0"/>
        <w:adjustRightInd/>
        <w:snapToGrid/>
        <w:ind w:firstLine="709"/>
        <w:jc w:val="both"/>
        <w:textAlignment w:val="auto"/>
        <w:rPr>
          <w:rFonts w:hint="eastAsia" w:asciiTheme="minorEastAsia" w:hAnsiTheme="minorEastAsia" w:eastAsiaTheme="minorEastAsia" w:cstheme="minorEastAsia"/>
        </w:rPr>
      </w:pPr>
    </w:p>
    <w:sectPr>
      <w:footerReference r:id="rId3" w:type="default"/>
      <w:footerReference r:id="rId4" w:type="even"/>
      <w:pgSz w:w="11905" w:h="16840"/>
      <w:pgMar w:top="2098" w:right="1474" w:bottom="1984" w:left="1587" w:header="850" w:footer="1474"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93C9B2A-30F9-496E-AC16-6CB0D9692E7C}"/>
  </w:font>
  <w:font w:name="方正仿宋_GBK">
    <w:panose1 w:val="02000000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E91EC">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CDEE7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1BCDEE7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35482">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77B510">
                          <w:pPr>
                            <w:pStyle w:val="3"/>
                          </w:pPr>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7577B510">
                    <w:pPr>
                      <w:pStyle w:val="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evenAndOddHeaders w:val="1"/>
  <w:drawingGridHorizontalSpacing w:val="158"/>
  <w:drawingGridVerticalSpacing w:val="290"/>
  <w:displayHorizontalDrawingGridEvery w:val="2"/>
  <w:displayVerticalDrawingGridEvery w:val="2"/>
  <w:hdrShapeDefaults>
    <o:shapelayout v:ext="edit">
      <o:idmap v:ext="edit" data="3,4"/>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D3C9E"/>
    <w:rsid w:val="0BED0EC9"/>
    <w:rsid w:val="151A266A"/>
    <w:rsid w:val="188B7B07"/>
    <w:rsid w:val="1C9B0535"/>
    <w:rsid w:val="21C603EE"/>
    <w:rsid w:val="239D4B92"/>
    <w:rsid w:val="263133EF"/>
    <w:rsid w:val="33064502"/>
    <w:rsid w:val="34A42225"/>
    <w:rsid w:val="3DDD0555"/>
    <w:rsid w:val="3E18158D"/>
    <w:rsid w:val="3E3C050B"/>
    <w:rsid w:val="4361668F"/>
    <w:rsid w:val="4E473EF5"/>
    <w:rsid w:val="523C53F3"/>
    <w:rsid w:val="55ED715E"/>
    <w:rsid w:val="672A3F5C"/>
    <w:rsid w:val="68DE0B5A"/>
    <w:rsid w:val="69674D33"/>
    <w:rsid w:val="6BC8789F"/>
    <w:rsid w:val="6DD469CF"/>
    <w:rsid w:val="6EC66318"/>
    <w:rsid w:val="731D3527"/>
    <w:rsid w:val="76452218"/>
    <w:rsid w:val="775F555C"/>
    <w:rsid w:val="793B7903"/>
    <w:rsid w:val="79420C91"/>
    <w:rsid w:val="7C5265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sz w:val="32"/>
      <w:szCs w:val="2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29</Pages>
  <Words>11617</Words>
  <Characters>12128</Characters>
  <TotalTime>42</TotalTime>
  <ScaleCrop>false</ScaleCrop>
  <LinksUpToDate>false</LinksUpToDate>
  <CharactersWithSpaces>12303</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2026-09-07T12:59:00Z</dcterms:created>
  <dc:creator>Apache POI</dc:creator>
  <cp:lastModifiedBy>你</cp:lastModifiedBy>
  <cp:lastPrinted>2026-09-08T03:23:00Z</cp:lastPrinted>
  <dcterms:modified xsi:type="dcterms:W3CDTF">2026-09-08T08:56:09Z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{"Label":"1","ContentProducer":"001191110102MACQD9K64010000","ProduceID":"7682777047186574300","ReservedCode1":"","ContentPropagator":"","PropagateID":"","ReservedCode2":""}</vt:lpwstr>
  </property>
  <property fmtid="{D5CDD505-2E9C-101B-9397-08002B2CF9AE}" pid="3" name="KSOTemplateDocerSaveRecord">
    <vt:lpwstr>eyJoZGlkIjoiMDA3NzE4NjZlMGVjODA1OTc5ZjRjNGQ5NmFiMjJmOWIiLCJ1c2VySWQiOiIzMDc3NDMzNjUifQ==</vt:lpwstr>
  </property>
  <property fmtid="{D5CDD505-2E9C-101B-9397-08002B2CF9AE}" pid="4" name="KSOProductBuildVer">
    <vt:lpwstr>2052-12.1.0.28505</vt:lpwstr>
  </property>
  <property fmtid="{D5CDD505-2E9C-101B-9397-08002B2CF9AE}" pid="5" name="ICV">
    <vt:lpwstr>FA15F9B03AFA465ABD60A06985614D3B_13</vt:lpwstr>
  </property>
</Properties>
</file>